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Engagement- und Ratingvermerk der Bank (Auszug, dem Geschäftsführer übergeben)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Volksbank Emscher-Hellweg eG – Marktfolge Kredit / Intensivbetreuung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Vermerk zum Engagement Ruhrland Getränkegroßhandel GmbH, Kredit-Nr. 6023-114-559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Verfasser: Dr. Beate Sanders (Marktfolge) / Carsten Wiegel (Markt)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 10. Dezember 2025</w:t>
      </w:r>
    </w:p>
    <w:p>
      <w:pPr>
        <w:spacing w:line="259" w:lineRule="auto" w:after="60"/>
        <w:jc w:val="left"/>
      </w:pPr>
      <w:r>
        <w:rPr>
          <w:i/>
        </w:rPr>
        <w:t>Übergabevermerk der Schuldnerin (handschriftlich auf dem Ausdruck): "Auszug erhalten im Gespräch am 28.01.2026 von Hr. Wiegel — F. B." Der Ausdruck lag in den Geschäftsunterlagen der Schuldnerin und wurde vom Insolvenzverwalter dort vorgefunden (Az. 87/26 KW).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 Ratingeinstufung und Kontoampel</w:t>
      </w:r>
    </w:p>
    <w:p>
      <w:pPr>
        <w:spacing w:line="259" w:lineRule="auto" w:after="60"/>
        <w:jc w:val="left"/>
      </w:pPr>
      <w:r>
        <w:t xml:space="preserve">Das interne Rating der Kreditnehmerin wird von Stufe 9 auf </w:t>
      </w:r>
      <w:r>
        <w:rPr>
          <w:b/>
        </w:rPr>
        <w:t>Stufe 13 (von 18)</w:t>
      </w:r>
      <w:r>
        <w:t xml:space="preserve"> herabgesetzt. Auslöser: dritter Verlustabschluss in Folge (vorläufige Zahlen 2025), Debitorenlaufzeiten über 70 Tage, dauerhafte Vollausnutzung der Linie seit August 2025 und wiederholte </w:t>
      </w:r>
      <w:r>
        <w:rPr>
          <w:b/>
        </w:rPr>
        <w:t>Überziehungen über den Rahmen von 250 TEUR hinaus</w:t>
      </w:r>
      <w:r>
        <w:t xml:space="preserve">, die derzeit bis rund 300 TEUR </w:t>
      </w:r>
      <w:r>
        <w:rPr>
          <w:b/>
        </w:rPr>
        <w:t>geduldet</w:t>
      </w:r>
      <w:r>
        <w:t xml:space="preserve"> werden. Die Kontoampel wird ab sofort auf </w:t>
      </w:r>
      <w:r>
        <w:rPr>
          <w:b/>
        </w:rPr>
        <w:t>Rot</w:t>
      </w:r>
      <w:r>
        <w:t xml:space="preserve"> gestellt: Belastungsbuchungen bedürfen der Einzelfreigabe durch den Betreuer, Duldungen über den Rahmen hinaus sind auf längstens zwei Wochen zu befristen und täglich zu überwachen. Das Engagement wird der </w:t>
      </w:r>
      <w:r>
        <w:rPr>
          <w:b/>
        </w:rPr>
        <w:t>Intensivbetreuung</w:t>
      </w:r>
      <w:r>
        <w:t xml:space="preserve"> zugeordnet.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 Bewertung der Lage</w:t>
      </w:r>
    </w:p>
    <w:p>
      <w:pPr>
        <w:spacing w:line="259" w:lineRule="auto" w:after="60"/>
        <w:jc w:val="left"/>
      </w:pPr>
      <w:r>
        <w:t xml:space="preserve">Die von der Kreditnehmerin am 21. November 2025 vorgelegte OPOS-Liste weist fällige Verbindlichkeiten von 1,23 Mio. EUR aus, davon 0,41 Mio. EUR älter als 90 Tage; darunter befinden sich Rückstände gegenüber der AOK Nordwest (drei Monatsbeiträge, Ratenzahlung vereinbart) und dem Finanzamt Dortmund-Ost (Umsatzsteuer September bis November, Stundungsantrag). Die eingereichte Liquiditätsvorschau der Kreditnehmerin zeigt auch im günstigen Szenario keine Rückführung der Rückstände aus eigener Kraft. Nach Einschätzung der Marktfolge liegt eine </w:t>
      </w:r>
      <w:r>
        <w:rPr>
          <w:b/>
        </w:rPr>
        <w:t>nachhaltige Liquiditätskrise</w:t>
      </w:r>
      <w:r>
        <w:t xml:space="preserve"> vor, die seit dem Frühjahr 2025 besteht; die Fortführung des Engagements ist nur bei konsequenter Rückführung vertretbar.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 Maßnahmen</w:t>
      </w:r>
    </w:p>
    <w:p>
      <w:pPr>
        <w:spacing w:line="259" w:lineRule="auto" w:after="60"/>
        <w:jc w:val="left"/>
      </w:pPr>
      <w:r>
        <w:t xml:space="preserve">Erstens: Engagementstrategie </w:t>
      </w:r>
      <w:r>
        <w:rPr>
          <w:b/>
        </w:rPr>
        <w:t>"Reduzieren"</w:t>
      </w:r>
      <w:r>
        <w:t>; Ziel ist die Rückführung des Obligos auf den Rahmen bis 31. März 2026 und darunter im Anschluss. Zweitens: Die Zahlungseingänge aus der Globalzession sind konsequent zur Saldorückführung zu verwenden; Auszahlungen nur für betriebsnotwendige Zwecke nach Freigabe. Drittens: Verstärkung der Sicherheiten (Erweiterung der Sicherungsübereignung auf das Leergut- und Pfandgutlager, Nachverpfändung) ist bis Ende Februar 2026 zu verlangen. Viertens: Gespräch mit der Geschäftsführung im Januar 2026; Hinweis auf die Obliegenheit, die wirtschaftliche Lage durch einen Sanierungsberater prüfen zu lassen. Wiedervorlage: 31. März 2026.</w:t>
      </w:r>
    </w:p>
    <w:p>
      <w:pPr>
        <w:spacing w:line="259" w:lineRule="auto" w:after="60"/>
        <w:jc w:val="left"/>
      </w:pPr>
      <w:r>
        <w:t>gez. Dr. Sanders · gez. Wiegel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