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Gesprächsnotiz des Geschäftsführers über das Bankgespräch vom 28. Januar 2026</w:t>
      </w:r>
    </w:p>
    <w:p>
      <w:pPr>
        <w:spacing w:before="120" w:after="60" w:line="259" w:lineRule="auto"/>
        <w:jc w:val="left"/>
      </w:pPr>
      <w:r>
        <w:rPr>
          <w:rFonts w:ascii="Times New Roman" w:hAnsi="Times New Roman"/>
          <w:b/>
          <w:sz w:val="22"/>
        </w:rPr>
        <w:t>Ruhrland Getränkegroßhandel GmbH – Geschäftsleitung</w:t>
      </w:r>
    </w:p>
    <w:p>
      <w:pPr>
        <w:spacing w:before="120" w:after="60" w:line="259" w:lineRule="auto"/>
        <w:jc w:val="left"/>
      </w:pPr>
      <w:r>
        <w:rPr>
          <w:rFonts w:ascii="Times New Roman" w:hAnsi="Times New Roman"/>
          <w:b/>
          <w:sz w:val="22"/>
        </w:rPr>
        <w:t>Notiz für die Akte "Bank/Finanzierung"</w:t>
      </w:r>
    </w:p>
    <w:p>
      <w:pPr>
        <w:spacing w:before="120" w:after="60" w:line="259" w:lineRule="auto"/>
        <w:jc w:val="left"/>
      </w:pPr>
      <w:r>
        <w:rPr>
          <w:rFonts w:ascii="Times New Roman" w:hAnsi="Times New Roman"/>
          <w:b/>
          <w:sz w:val="22"/>
        </w:rPr>
        <w:t>Verfasser: Frank Buschkamp</w:t>
      </w:r>
    </w:p>
    <w:p>
      <w:pPr>
        <w:spacing w:before="120" w:after="60" w:line="259" w:lineRule="auto"/>
        <w:jc w:val="left"/>
      </w:pPr>
      <w:r>
        <w:rPr>
          <w:rFonts w:ascii="Times New Roman" w:hAnsi="Times New Roman"/>
          <w:b w:val="0"/>
          <w:i w:val="0"/>
          <w:sz w:val="22"/>
        </w:rPr>
        <w:t>Datum: 28. Januar 2026, abends diktiert</w:t>
      </w:r>
    </w:p>
    <w:p>
      <w:pPr>
        <w:spacing w:line="259" w:lineRule="auto" w:after="60"/>
        <w:jc w:val="left"/>
      </w:pPr>
      <w:r>
        <w:rPr>
          <w:i/>
        </w:rPr>
        <w:t>Vorgefunden vom Insolvenzverwalter im Ordner "VB Emscher-Hellweg 2024–2026" (Az. 87/26 KW).</w:t>
      </w:r>
    </w:p>
    <w:p>
      <w:pPr>
        <w:pStyle w:val="Heading2"/>
        <w:spacing w:before="120" w:after="60" w:line="259" w:lineRule="auto"/>
      </w:pPr>
      <w:r>
        <w:rPr>
          <w:rFonts w:ascii="Times New Roman" w:hAnsi="Times New Roman"/>
          <w:b/>
          <w:sz w:val="22"/>
        </w:rPr>
        <w:t>1 Teilnehmer und Anlass</w:t>
      </w:r>
    </w:p>
    <w:p>
      <w:pPr>
        <w:spacing w:line="259" w:lineRule="auto" w:after="60"/>
        <w:jc w:val="left"/>
      </w:pPr>
      <w:r>
        <w:t>Gespräch heute 14 Uhr in der Hauptstelle Westenhellweg: Herr Wiegel (Firmenkundenbetreuer), Frau Dr. Sanders (Marktfolge, zugeschaltet), von uns ich selbst und Frau Kortner (Buchhaltung). Anlass: die Überziehung über die Linie hinaus und die Ablehnung unserer Bitte, den Rahmen befristet auf 325.000 EUR zu erhöhen.</w:t>
      </w:r>
    </w:p>
    <w:p>
      <w:pPr>
        <w:pStyle w:val="Heading2"/>
        <w:spacing w:line="259" w:lineRule="auto" w:after="60"/>
      </w:pPr>
      <w:r>
        <w:rPr>
          <w:rFonts w:ascii="Times New Roman" w:hAnsi="Times New Roman"/>
        </w:rPr>
        <w:t>2 Inhalt</w:t>
      </w:r>
    </w:p>
    <w:p>
      <w:pPr>
        <w:spacing w:line="259" w:lineRule="auto" w:after="60"/>
        <w:jc w:val="left"/>
      </w:pPr>
      <w:r>
        <w:t>Herr Wiegel hat mir einen Auszug aus dem internen Engagementvermerk vom 10. Dezember 2025 übergeben, "damit wir wissen, woran wir sind". Kernaussagen der Bank: Rating auf 13 herabgesetzt, Ampel rot, Strategie "Reduzieren". Eine Rahmenerhöhung gibt es nicht. Die Duldung der Überziehung — aktuell rund 305.000 EUR Soll — verlängert die Bank nur noch von Woche zu Woche und nur, solange die Eingänge konsequent auf dem Konto bleiben und der Saldo sichtbar sinkt. Frau Dr. Sanders wörtlich sinngemäß: Jeder Euro, der reinkommt, gehört erst einmal der Rückführung; größere Auszahlungen nur nach Freigabe durch Herrn Wiegel. Einzelne Überweisungen seien zuletzt bewusst nicht ausgeführt worden, das werde so bleiben, wenn die Deckung fehlt.</w:t>
      </w:r>
    </w:p>
    <w:p>
      <w:pPr>
        <w:spacing w:line="259" w:lineRule="auto" w:after="60"/>
        <w:jc w:val="left"/>
      </w:pPr>
      <w:r>
        <w:t>Zusätzlich verlangt die Bank bis Ende Februar die Erweiterung der Sicherungsübereignung auf das Leergutlager und eine aktuelle OPOS-Liste monatlich. Auf meine Frage, ob die Bank uns "noch trägt", sagte Herr Wiegel, man wolle die Geschäftsverbindung nicht beenden, aber das Haus sei "nicht mehr bereit, das Risiko zu vergrößern"; ich solle dringend mit einem Sanierungsberater sprechen. Die Rückstände bei AOK und Finanzamt kennt die Bank aus unserer OPOS-Liste vom November.</w:t>
      </w:r>
    </w:p>
    <w:p>
      <w:pPr>
        <w:pStyle w:val="Heading2"/>
        <w:spacing w:line="259" w:lineRule="auto" w:after="60"/>
      </w:pPr>
      <w:r>
        <w:rPr>
          <w:rFonts w:ascii="Times New Roman" w:hAnsi="Times New Roman"/>
        </w:rPr>
        <w:t>3 Meine Einschätzung</w:t>
      </w:r>
    </w:p>
    <w:p>
      <w:pPr>
        <w:spacing w:line="259" w:lineRule="auto" w:after="60"/>
        <w:jc w:val="left"/>
      </w:pPr>
      <w:r>
        <w:t>Wenn die Bank die Eingänge stehen lässt und Auszahlungen nur nach Freigabe laufen, wird der April eng: Die Load-Liste für die Festivalsaison muss vorfinanziert werden. Ich habe zugesagt, den Saldo bis Ende März auf die Linie zurückzuführen, und intern angewiesen, alle Kunden auf das Volksbank-Konto zahlen zu lassen (das verlangt die Globalzession ohnehin). Alternative Bankverbindung aufzubauen ist kurzfristig unrealistisch. Frau Kortner soll die abgelehnten Überweisungen dokumentieren, damit wir gegenüber Lieferanten belegen können, dass es an der Bank lag.</w:t>
      </w:r>
    </w:p>
    <w:p>
      <w:pPr>
        <w:spacing w:line="259" w:lineRule="auto" w:after="60"/>
        <w:jc w:val="left"/>
      </w:pPr>
      <w:r>
        <w:t>F. B.</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