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der Bankanwälte</w:t>
      </w:r>
    </w:p>
    <w:p>
      <w:pPr>
        <w:spacing w:before="120" w:after="60" w:line="259" w:lineRule="auto"/>
        <w:jc w:val="left"/>
      </w:pPr>
      <w:r>
        <w:rPr>
          <w:rFonts w:ascii="Times New Roman" w:hAnsi="Times New Roman"/>
          <w:b/>
          <w:sz w:val="22"/>
        </w:rPr>
        <w:t>Terhardt &amp; Cloppenburg Rechtsanwälte PartG mbB</w:t>
      </w:r>
    </w:p>
    <w:p>
      <w:pPr>
        <w:spacing w:before="120" w:after="60" w:line="259" w:lineRule="auto"/>
        <w:jc w:val="left"/>
      </w:pPr>
      <w:r>
        <w:rPr>
          <w:rFonts w:ascii="Times New Roman" w:hAnsi="Times New Roman"/>
          <w:b/>
          <w:sz w:val="22"/>
        </w:rPr>
        <w:t>Fachanwälte für Bank- und Kapitalmarktrecht</w:t>
      </w:r>
    </w:p>
    <w:p>
      <w:pPr>
        <w:spacing w:before="120" w:after="60" w:line="259" w:lineRule="auto"/>
        <w:jc w:val="left"/>
      </w:pPr>
      <w:r>
        <w:rPr>
          <w:rFonts w:ascii="Times New Roman" w:hAnsi="Times New Roman"/>
          <w:b/>
          <w:sz w:val="22"/>
        </w:rPr>
        <w:t>Prinzipalmarkt 24, 48143 Münster</w:t>
      </w:r>
    </w:p>
    <w:p>
      <w:pPr>
        <w:spacing w:before="120" w:after="60" w:line="259" w:lineRule="auto"/>
        <w:jc w:val="left"/>
      </w:pPr>
      <w:r>
        <w:rPr>
          <w:rFonts w:ascii="Times New Roman" w:hAnsi="Times New Roman"/>
          <w:b/>
          <w:sz w:val="22"/>
        </w:rPr>
        <w:t>Telefon 0251 41822-0 · muenster@terhardt-cloppenburg.de</w:t>
      </w:r>
    </w:p>
    <w:p>
      <w:pPr>
        <w:spacing w:before="120" w:after="60" w:line="259" w:lineRule="auto"/>
        <w:jc w:val="left"/>
      </w:pPr>
      <w:r>
        <w:rPr>
          <w:rFonts w:ascii="Times New Roman" w:hAnsi="Times New Roman"/>
          <w:b/>
          <w:sz w:val="22"/>
        </w:rPr>
        <w:t>Unser Zeichen: 2026/1147 TE/rg</w:t>
      </w:r>
    </w:p>
    <w:p>
      <w:pPr>
        <w:spacing w:before="120" w:after="60" w:line="259" w:lineRule="auto"/>
        <w:jc w:val="left"/>
      </w:pPr>
      <w:r>
        <w:rPr>
          <w:rFonts w:ascii="Times New Roman" w:hAnsi="Times New Roman"/>
          <w:b/>
          <w:sz w:val="22"/>
        </w:rPr>
        <w:t>Ihr Zeichen: 87/26 KW</w:t>
      </w:r>
    </w:p>
    <w:p>
      <w:pPr>
        <w:spacing w:before="120" w:after="60" w:line="259" w:lineRule="auto"/>
        <w:jc w:val="left"/>
      </w:pPr>
      <w:r>
        <w:rPr>
          <w:rFonts w:ascii="Times New Roman" w:hAnsi="Times New Roman"/>
          <w:b/>
          <w:sz w:val="22"/>
        </w:rPr>
        <w:t>Münster, den 25. Juni 2026</w:t>
      </w:r>
    </w:p>
    <w:p>
      <w:pPr>
        <w:spacing w:line="259" w:lineRule="auto" w:after="60"/>
        <w:jc w:val="left"/>
      </w:pPr>
      <w:r>
        <w:rPr>
          <w:b/>
        </w:rPr>
        <w:t>Vorab per beA</w:t>
      </w:r>
    </w:p>
    <w:p>
      <w:pPr>
        <w:spacing w:line="259" w:lineRule="auto" w:after="60"/>
        <w:jc w:val="left"/>
      </w:pPr>
      <w:r>
        <w:t>**Herrn Rechtsanwalt</w:t>
      </w:r>
    </w:p>
    <w:p>
      <w:pPr>
        <w:spacing w:line="259" w:lineRule="auto" w:after="60"/>
        <w:jc w:val="left"/>
      </w:pPr>
      <w:r>
        <w:t>Dr. Konstantin Wehmeyer</w:t>
      </w:r>
    </w:p>
    <w:p>
      <w:pPr>
        <w:spacing w:line="259" w:lineRule="auto" w:after="60"/>
        <w:jc w:val="left"/>
      </w:pPr>
      <w:r>
        <w:t>– als Insolvenzverwalter der Ruhrland Getränkegroßhandel GmbH –</w:t>
      </w:r>
    </w:p>
    <w:p>
      <w:pPr>
        <w:spacing w:line="259" w:lineRule="auto" w:after="60"/>
        <w:jc w:val="left"/>
      </w:pPr>
      <w:r>
        <w:t>Kaiserstraße 34</w:t>
      </w:r>
    </w:p>
    <w:p>
      <w:pPr>
        <w:spacing w:line="259" w:lineRule="auto" w:after="60"/>
        <w:jc w:val="left"/>
      </w:pPr>
      <w:r>
        <w:t>44135 Dortmund**</w:t>
      </w:r>
    </w:p>
    <w:p>
      <w:pPr>
        <w:spacing w:line="259" w:lineRule="auto" w:after="60"/>
        <w:jc w:val="left"/>
      </w:pPr>
      <w:r>
        <w:rPr>
          <w:b/>
        </w:rPr>
        <w:t>Betreff: Ruhrland Getränkegroßhandel GmbH (AG Dortmund, 251 IN 74/26) – Ihre Anfechtungserklärung vom 12. Juni 2026; Zurückweisung</w:t>
      </w:r>
    </w:p>
    <w:p>
      <w:pPr>
        <w:spacing w:line="259" w:lineRule="auto" w:after="60"/>
        <w:jc w:val="left"/>
      </w:pPr>
      <w:r>
        <w:t>Sehr geehrter Herr Kollege Dr. Wehmeyer,</w:t>
      </w:r>
    </w:p>
    <w:p>
      <w:pPr>
        <w:spacing w:line="259" w:lineRule="auto" w:after="60"/>
        <w:jc w:val="left"/>
      </w:pPr>
      <w:r>
        <w:t>wir zeigen die Vertretung der Volksbank Emscher-Hellweg eG an. Die geltend gemachten Ansprüche bestehen nicht; Zahlungen wird unsere Mandantin nicht leisten. Im Einzelnen:</w:t>
      </w:r>
    </w:p>
    <w:p>
      <w:pPr>
        <w:pStyle w:val="Heading2"/>
        <w:spacing w:line="259" w:lineRule="auto" w:after="60"/>
      </w:pPr>
      <w:r>
        <w:rPr>
          <w:rFonts w:ascii="Times New Roman" w:hAnsi="Times New Roman"/>
        </w:rPr>
        <w:t>1 Die Saldodifferenzrechnung ist unrichtig</w:t>
      </w:r>
    </w:p>
    <w:p>
      <w:pPr>
        <w:spacing w:line="259" w:lineRule="auto" w:after="60"/>
        <w:jc w:val="left"/>
      </w:pPr>
      <w:r>
        <w:t xml:space="preserve">Ihre Berechnung setzt beim höchsten Sollsaldo des Zeitraums an und kommt so auf 83.600,00 EUR. Richtigerweise kann eine anfechtbare Vermögensverschiebung allenfalls in dem Umfang vorliegen, in dem sich das Obligo </w:t>
      </w:r>
      <w:r>
        <w:rPr>
          <w:b/>
        </w:rPr>
        <w:t>gegenüber dem Beginn des anfechtungsrelevanten Zeitraums</w:t>
      </w:r>
      <w:r>
        <w:t xml:space="preserve"> vermindert hat: Am 14. Januar 2026 valutierte das Konto mit −298.750,00 EUR, am 15. April 2026 mit −226.300,00 EUR. Die Differenz beträgt </w:t>
      </w:r>
      <w:r>
        <w:rPr>
          <w:b/>
        </w:rPr>
        <w:t>72.450,00 EUR</w:t>
      </w:r>
      <w:r>
        <w:t xml:space="preserve">. Der zwischenzeitliche Anstieg auf −309.900,00 EUR beruhte auf Verfügungen, die unsere Mandantin der Schuldnerin </w:t>
      </w:r>
      <w:r>
        <w:rPr>
          <w:b/>
        </w:rPr>
        <w:t>zusätzlich</w:t>
      </w:r>
      <w:r>
        <w:t xml:space="preserve"> gestattet hat; es wäre widersprüchlich, unserer Mandantin die Rückführung gerade jener Beträge als anfechtbare Deckung entgegenzuhalten, die sie der Schuldnerin in der Krise überhaupt erst zur Verfügung gestellt hat.</w:t>
      </w:r>
    </w:p>
    <w:p>
      <w:pPr>
        <w:pStyle w:val="Heading2"/>
        <w:spacing w:line="259" w:lineRule="auto" w:after="60"/>
      </w:pPr>
      <w:r>
        <w:rPr>
          <w:rFonts w:ascii="Times New Roman" w:hAnsi="Times New Roman"/>
        </w:rPr>
        <w:t>2 Bargeschäft (§ 142 InsO)</w:t>
      </w:r>
    </w:p>
    <w:p>
      <w:pPr>
        <w:spacing w:line="259" w:lineRule="auto" w:after="60"/>
        <w:jc w:val="left"/>
      </w:pPr>
      <w:r>
        <w:t>Im Zeitraum sind 412.000,00 EUR eingegangen und 339.550,00 EUR für Zwecke der Schuldnerin wieder ausgezahlt worden — Löhne, Wareneinkauf, Leasing, laufende Kosten. Das Konto war das zentrale Zahlungsverkehrsinstrument eines werbenden Geschäftsbetriebs; Eingänge und Ausgänge standen in unmittelbarem zeitlichem und sachlichem Zusammenhang (taggleiche bzw. tagnahe Disposition, vgl. Ihre eigene Anlage 1). In Höhe der wieder zur Verfügung gestellten 339.550,00 EUR liegt daher ein anfechtungsfestes Bargeschäft vor; anfechtbar könnte von vornherein nur der Spitzenbetrag sein.</w:t>
      </w:r>
    </w:p>
    <w:p>
      <w:pPr>
        <w:pStyle w:val="Heading2"/>
        <w:spacing w:line="259" w:lineRule="auto" w:after="60"/>
      </w:pPr>
      <w:r>
        <w:rPr>
          <w:rFonts w:ascii="Times New Roman" w:hAnsi="Times New Roman"/>
        </w:rPr>
        <w:t>3 Keine Inkongruenz der Rückführung der Überziehung</w:t>
      </w:r>
    </w:p>
    <w:p>
      <w:pPr>
        <w:spacing w:line="259" w:lineRule="auto" w:after="60"/>
        <w:jc w:val="left"/>
      </w:pPr>
      <w:r>
        <w:t xml:space="preserve">Die von Ihnen als "geduldete Überziehung" bezeichneten Inanspruchnahmen beruhten auf einer zwischen den Vertragsparteien seit November 2025 tatsächlich gelebten und im Gespräch vom 28. Januar 2026 ausdrücklich bestätigten Übung: Unsere Mandantin ließ Inanspruchnahmen bis rund 310.000,00 EUR gegen erhöhten Überziehungszins zu, die Schuldnerin führte aus den Eingängen zurück. Damit bestand eine — jedenfalls konkludent vereinbarte — erweiterte Kreditlinie; deren vertragsgemäße Rückführung ist kongruent. Im Übrigen hat ein Kreditinstitut auf die Rückführung nicht vereinbarter Überziehungen </w:t>
      </w:r>
      <w:r>
        <w:rPr>
          <w:b/>
        </w:rPr>
        <w:t>jederzeit einen fälligen Anspruch</w:t>
      </w:r>
      <w:r>
        <w:t xml:space="preserve"> (§ 488 Abs. 1 Satz 2 BGB); die Erfüllung eines fälligen Anspruchs "in der Art" ist nicht inkongruent.</w:t>
      </w:r>
    </w:p>
    <w:p>
      <w:pPr>
        <w:pStyle w:val="Heading2"/>
        <w:spacing w:line="259" w:lineRule="auto" w:after="60"/>
      </w:pPr>
      <w:r>
        <w:rPr>
          <w:rFonts w:ascii="Times New Roman" w:hAnsi="Times New Roman"/>
        </w:rPr>
        <w:t>4 Keine Kenntnis von einer Zahlungsunfähigkeit</w:t>
      </w:r>
    </w:p>
    <w:p>
      <w:pPr>
        <w:spacing w:line="259" w:lineRule="auto" w:after="60"/>
        <w:jc w:val="left"/>
      </w:pPr>
      <w:r>
        <w:t>Eine Zahlungsunfähigkeit der Schuldnerin vor der Kreditkündigung vom 8. April 2026 bestreiten wir. Die Schuldnerin hat bis in den April 2026 hinein erhebliche Umsätze erzielt (412.000,00 EUR Eingänge in drei Monaten), Ratenzahlungsvereinbarungen mit AOK und Finanzamt geschlossen und bedient und gegenüber unserer Mandantin stets plausibel dargelegt, dass das Frühjahrs- und Festivalgeschäft die Rückstände abtragen werde. Interne Ratingeinstufungen und eine "Kontoampel" sind Instrumente der bankaufsichtlich gebotenen Risikovorsorge und belegen keine Kenntnis im Sinne des § 130 InsO; anderenfalls wäre jede ordnungsgemäße Intensivbetreuung anfechtungsschädlich. Zahlungsstockung ist keine Zahlungsunfähigkeit.</w:t>
      </w:r>
    </w:p>
    <w:p>
      <w:pPr>
        <w:pStyle w:val="Heading2"/>
        <w:spacing w:line="259" w:lineRule="auto" w:after="60"/>
      </w:pPr>
      <w:r>
        <w:rPr>
          <w:rFonts w:ascii="Times New Roman" w:hAnsi="Times New Roman"/>
        </w:rPr>
        <w:t>5 Keine Gläubigerbenachteiligung wegen der Globalzession</w:t>
      </w:r>
    </w:p>
    <w:p>
      <w:pPr>
        <w:spacing w:line="259" w:lineRule="auto" w:after="60"/>
        <w:jc w:val="left"/>
      </w:pPr>
      <w:r>
        <w:t xml:space="preserve">Sämtliche über das Konto geleiteten Zahlungseingänge beruhten auf Forderungen, die unserer Mandantin aufgrund der Globalzession vom 30. Juni 2021 </w:t>
      </w:r>
      <w:r>
        <w:rPr>
          <w:b/>
        </w:rPr>
        <w:t>zur Sicherheit abgetreten</w:t>
      </w:r>
      <w:r>
        <w:t xml:space="preserve"> waren. An diesen Forderungen und ihren Surrogaten stand unserer Mandantin ein Absonderungsrecht zu. Die Verrechnung abgetretener Eingänge verkürzt die übrigen Gläubiger nicht: Ohne die Verrechnung hätte unsere Mandantin die Forderungen nach Offenlegung selbst eingezogen. Es fehlt daher bereits an der Gläubigerbenachteiligung (§ 129 InsO).</w:t>
      </w:r>
    </w:p>
    <w:p>
      <w:pPr>
        <w:pStyle w:val="Heading2"/>
        <w:spacing w:line="259" w:lineRule="auto" w:after="60"/>
      </w:pPr>
      <w:r>
        <w:rPr>
          <w:rFonts w:ascii="Times New Roman" w:hAnsi="Times New Roman"/>
        </w:rPr>
        <w:t>6 Ergebnis</w:t>
      </w:r>
    </w:p>
    <w:p>
      <w:pPr>
        <w:spacing w:line="259" w:lineRule="auto" w:after="60"/>
        <w:jc w:val="left"/>
      </w:pPr>
      <w:r>
        <w:t>Wir empfehlen unserer Mandantin, auf die Forderung nicht zu zahlen, stehen aber für ein Gespräch über eine pragmatische Gesamtbereinigung — auch mit Blick auf die noch offene Verwertung des Warenlagers — zur Verfügung.</w:t>
      </w:r>
    </w:p>
    <w:p>
      <w:pPr>
        <w:spacing w:line="259" w:lineRule="auto" w:after="60"/>
        <w:jc w:val="left"/>
      </w:pPr>
      <w:r>
        <w:t>Mit freundlichen kollegialen Grüßen</w:t>
      </w:r>
    </w:p>
    <w:p>
      <w:pPr>
        <w:spacing w:line="259" w:lineRule="auto" w:after="60"/>
        <w:jc w:val="left"/>
      </w:pPr>
      <w:r>
        <w:t>Dr. Matthias Terhardt</w:t>
      </w:r>
    </w:p>
    <w:p>
      <w:pPr>
        <w:spacing w:line="259" w:lineRule="auto" w:after="60"/>
        <w:jc w:val="left"/>
      </w:pPr>
      <w:r>
        <w:t>Rechtsanwalt, Fachanwalt für Bank- und Kapitalmarktrecht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