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Replik des Insolvenzverwalters</w:t>
      </w:r>
    </w:p>
    <w:p>
      <w:pPr>
        <w:spacing w:before="120" w:after="60" w:line="259" w:lineRule="auto"/>
        <w:jc w:val="left"/>
      </w:pPr>
      <w:r>
        <w:rPr>
          <w:rFonts w:ascii="Times New Roman" w:hAnsi="Times New Roman"/>
          <w:b/>
          <w:sz w:val="22"/>
        </w:rPr>
        <w:t>Wehmeyer Insolvenzverwaltung</w:t>
      </w:r>
    </w:p>
    <w:p>
      <w:pPr>
        <w:spacing w:before="120" w:after="60" w:line="259" w:lineRule="auto"/>
        <w:jc w:val="left"/>
      </w:pPr>
      <w:r>
        <w:rPr>
          <w:rFonts w:ascii="Times New Roman" w:hAnsi="Times New Roman"/>
          <w:b/>
          <w:sz w:val="22"/>
        </w:rPr>
        <w:t>Rechtsanwalt Dr. Konstantin Wehmeyer</w:t>
      </w:r>
    </w:p>
    <w:p>
      <w:pPr>
        <w:spacing w:before="120" w:after="60" w:line="259" w:lineRule="auto"/>
        <w:jc w:val="left"/>
      </w:pPr>
      <w:r>
        <w:rPr>
          <w:rFonts w:ascii="Times New Roman" w:hAnsi="Times New Roman"/>
          <w:b/>
          <w:sz w:val="22"/>
        </w:rPr>
        <w:t>Kaiserstraße 34, 44135 Dortmund</w:t>
      </w:r>
    </w:p>
    <w:p>
      <w:pPr>
        <w:spacing w:before="120" w:after="60" w:line="259" w:lineRule="auto"/>
        <w:jc w:val="left"/>
      </w:pPr>
      <w:r>
        <w:rPr>
          <w:rFonts w:ascii="Times New Roman" w:hAnsi="Times New Roman"/>
          <w:b/>
          <w:sz w:val="22"/>
        </w:rPr>
        <w:t>Telefon 0231 47790-0 · kanzlei@wehmeyer-insolvenz.de</w:t>
      </w:r>
    </w:p>
    <w:p>
      <w:pPr>
        <w:spacing w:before="120" w:after="60" w:line="259" w:lineRule="auto"/>
        <w:jc w:val="left"/>
      </w:pPr>
      <w:r>
        <w:rPr>
          <w:rFonts w:ascii="Times New Roman" w:hAnsi="Times New Roman"/>
          <w:b/>
          <w:sz w:val="22"/>
        </w:rPr>
        <w:t>Unser Zeichen: 87/26 KW</w:t>
      </w:r>
    </w:p>
    <w:p>
      <w:pPr>
        <w:spacing w:before="120" w:after="60" w:line="259" w:lineRule="auto"/>
        <w:jc w:val="left"/>
      </w:pPr>
      <w:r>
        <w:rPr>
          <w:rFonts w:ascii="Times New Roman" w:hAnsi="Times New Roman"/>
          <w:b/>
          <w:sz w:val="22"/>
        </w:rPr>
        <w:t>Ihr Zeichen: 2026/1147 TE/rg</w:t>
      </w:r>
    </w:p>
    <w:p>
      <w:pPr>
        <w:spacing w:before="120" w:after="60" w:line="259" w:lineRule="auto"/>
        <w:jc w:val="left"/>
      </w:pPr>
      <w:r>
        <w:rPr>
          <w:rFonts w:ascii="Times New Roman" w:hAnsi="Times New Roman"/>
          <w:b/>
          <w:sz w:val="22"/>
        </w:rPr>
        <w:t>Insolvenzverfahren: Ruhrland Getränkegroßhandel GmbH, AG Dortmund, 251 IN 74/26</w:t>
      </w:r>
    </w:p>
    <w:p>
      <w:pPr>
        <w:spacing w:line="259" w:lineRule="auto" w:after="60"/>
        <w:jc w:val="left"/>
      </w:pPr>
      <w:r>
        <w:t>Dortmund, den 3. Juli 2026</w:t>
      </w:r>
    </w:p>
    <w:p>
      <w:pPr>
        <w:spacing w:line="259" w:lineRule="auto" w:after="60"/>
        <w:jc w:val="left"/>
      </w:pPr>
      <w:r>
        <w:rPr>
          <w:b/>
        </w:rPr>
        <w:t>Vorab per beA</w:t>
      </w:r>
    </w:p>
    <w:p>
      <w:pPr>
        <w:spacing w:line="259" w:lineRule="auto" w:after="60"/>
        <w:jc w:val="left"/>
      </w:pPr>
      <w:r>
        <w:t>**Terhardt &amp; Cloppenburg Rechtsanwälte PartG mbB</w:t>
      </w:r>
    </w:p>
    <w:p>
      <w:pPr>
        <w:spacing w:line="259" w:lineRule="auto" w:after="60"/>
        <w:jc w:val="left"/>
      </w:pPr>
      <w:r>
        <w:t>Herrn Rechtsanwalt Dr. Matthias Terhardt</w:t>
      </w:r>
    </w:p>
    <w:p>
      <w:pPr>
        <w:spacing w:line="259" w:lineRule="auto" w:after="60"/>
        <w:jc w:val="left"/>
      </w:pPr>
      <w:r>
        <w:t>Prinzipalmarkt 24</w:t>
      </w:r>
    </w:p>
    <w:p>
      <w:pPr>
        <w:spacing w:line="259" w:lineRule="auto" w:after="60"/>
        <w:jc w:val="left"/>
      </w:pPr>
      <w:r>
        <w:t>48143 Münster**</w:t>
      </w:r>
    </w:p>
    <w:p>
      <w:pPr>
        <w:spacing w:line="259" w:lineRule="auto" w:after="60"/>
        <w:jc w:val="left"/>
      </w:pPr>
      <w:r>
        <w:rPr>
          <w:b/>
        </w:rPr>
        <w:t>Betreff: Ruhrland Getränkegroßhandel GmbH (AG Dortmund, 251 IN 74/26) — Ihre Erwiderung vom 25. Juni 2026; Erweiterung der Anfechtung; letzte Fristsetzung</w:t>
      </w:r>
    </w:p>
    <w:p>
      <w:pPr>
        <w:spacing w:line="259" w:lineRule="auto" w:after="60"/>
        <w:jc w:val="left"/>
      </w:pPr>
      <w:r>
        <w:t>Sehr geehrter Herr Kollege Dr. Terhardt,</w:t>
      </w:r>
    </w:p>
    <w:p>
      <w:pPr>
        <w:spacing w:line="259" w:lineRule="auto" w:after="60"/>
        <w:jc w:val="left"/>
      </w:pPr>
      <w:r>
        <w:t>Ihre Erwiderung gibt Anlass, die Anfechtung zu erweitern und im Übrigen wie folgt zu vertiefen.</w:t>
      </w:r>
    </w:p>
    <w:p>
      <w:pPr>
        <w:pStyle w:val="Heading2"/>
        <w:spacing w:line="259" w:lineRule="auto" w:after="60"/>
      </w:pPr>
      <w:r>
        <w:rPr>
          <w:rFonts w:ascii="Times New Roman" w:hAnsi="Times New Roman"/>
        </w:rPr>
        <w:t>1 Zur Berechnung: maßgeblich ist die Rückführung vom Höchststand, nicht vom Anfangsbestand</w:t>
      </w:r>
    </w:p>
    <w:p>
      <w:pPr>
        <w:spacing w:line="259" w:lineRule="auto" w:after="60"/>
        <w:jc w:val="left"/>
      </w:pPr>
      <w:r>
        <w:t>Ihre Rechnung, die nur die Differenz zwischen Anfangs- und Endsaldo (72.450,00 EUR) gelten lassen will, verkürzt den Anfechtungsgegenstand. Angefochten sind die Verrechnungen, durch die Ihre Mandantin Deckung erlangt hat. Deckung erlangt die Bank in dem Umfang, in dem der Sollsaldo aus den vereinnahmten Eingängen zurückgeführt wird; ob das Obligo zuvor — durch von der Bank selbst zugelassene Verfügungen — noch einmal angestiegen war, ändert an der Befriedigungswirkung der anschließenden Verrechnungen nichts. Der zwischenzeitliche Anstieg auf 309.900,00 EUR war auch keine „zusätzlich gestattete" Kreditgewährung, aus der Ihre Mandantin heute einen Vertrauensschutz ableiten könnte: Nach Ihrem eigenen Engagementvermerk vom 10. Dezember 2025 war jede Duldung über den Rahmen hinaus „auf längstens zwei Wochen zu befristen und täglich zu überwachen"; die Ausweitung diente allein dazu, die Eingänge aus der Globalzession weiter über das Konto zu leiten.</w:t>
      </w:r>
    </w:p>
    <w:p>
      <w:pPr>
        <w:spacing w:line="259" w:lineRule="auto" w:after="60"/>
        <w:jc w:val="left"/>
      </w:pPr>
      <w:r>
        <w:t xml:space="preserve">Ich erkläre zugleich die </w:t>
      </w:r>
      <w:r>
        <w:rPr>
          <w:b/>
        </w:rPr>
        <w:t>Erweiterung der Anfechtung</w:t>
      </w:r>
      <w:r>
        <w:t xml:space="preserve">: Nach der Tagessaldenliste betrug der niedrigste Sollsaldo des Zeitraums 221.480,00 EUR (8. April 2026). Soweit Ihre Mandantin danach wieder Verfügungen zugelassen hat und der Saldo zum 15. April 2026 auf 226.300,00 EUR angestiegen ist, bleibt die zuvor erlangte Deckung bestehen. Angefochten ist damit die Rückführung vom Höchststand (309.900,00 EUR) auf den niedrigsten Stand (221.480,00 EUR), mithin ein Betrag von </w:t>
      </w:r>
      <w:r>
        <w:rPr>
          <w:b/>
        </w:rPr>
        <w:t>88.420,00 EUR</w:t>
      </w:r>
      <w:r>
        <w:t>.</w:t>
      </w:r>
    </w:p>
    <w:p>
      <w:pPr>
        <w:pStyle w:val="Heading2"/>
        <w:spacing w:line="259" w:lineRule="auto" w:after="60"/>
      </w:pPr>
      <w:r>
        <w:rPr>
          <w:rFonts w:ascii="Times New Roman" w:hAnsi="Times New Roman"/>
        </w:rPr>
        <w:t>2 Kein Bargeschäft für die angefochtene Spitze</w:t>
      </w:r>
    </w:p>
    <w:p>
      <w:pPr>
        <w:spacing w:line="259" w:lineRule="auto" w:after="60"/>
        <w:jc w:val="left"/>
      </w:pPr>
      <w:r>
        <w:t>Der Bargeschäftseinwand trägt aus zwei Gründen nicht.</w:t>
      </w:r>
    </w:p>
    <w:p>
      <w:pPr>
        <w:spacing w:line="259" w:lineRule="auto" w:after="60"/>
        <w:jc w:val="left"/>
      </w:pPr>
      <w:r>
        <w:t xml:space="preserve">Erstens erfasst § 142 InsO nur Leistungen, für die der Schuldner eine gleichwertige Gegenleistung erhält. Soweit Ihre Mandantin Eingänge vereinnahmt und </w:t>
      </w:r>
      <w:r>
        <w:rPr>
          <w:b/>
        </w:rPr>
        <w:t>nicht</w:t>
      </w:r>
      <w:r>
        <w:t xml:space="preserve"> wieder zur Verfügung gestellt hat — das ist exakt die angefochtene Saldenrückführung —, steht der Verrechnung keine Gegenleistung gegenüber. Die 339.550,00 EUR, die Ihre Mandantin wieder ausgezahlt hat, habe ich von vornherein nicht angefochten; die Anfechtung betrifft allein den einbehaltenen Spitzenbetrag.</w:t>
      </w:r>
    </w:p>
    <w:p>
      <w:pPr>
        <w:spacing w:line="259" w:lineRule="auto" w:after="60"/>
        <w:jc w:val="left"/>
      </w:pPr>
      <w:r>
        <w:t>Zweitens setzt das Bargeschäftsprivileg eine kongruente Deckung voraus. Für den Teil der Rückführung, der die bloß geduldete Überziehung betrifft (dazu sogleich Ziffer 3), scheidet § 142 InsO schon deshalb aus.</w:t>
      </w:r>
    </w:p>
    <w:p>
      <w:pPr>
        <w:pStyle w:val="Heading2"/>
        <w:spacing w:line="259" w:lineRule="auto" w:after="60"/>
      </w:pPr>
      <w:r>
        <w:rPr>
          <w:rFonts w:ascii="Times New Roman" w:hAnsi="Times New Roman"/>
        </w:rPr>
        <w:t>3 Die Rückführung der geduldeten Überziehung bleibt inkongruent</w:t>
      </w:r>
    </w:p>
    <w:p>
      <w:pPr>
        <w:spacing w:line="259" w:lineRule="auto" w:after="60"/>
        <w:jc w:val="left"/>
      </w:pPr>
      <w:r>
        <w:t xml:space="preserve">Eine konkludent vereinbarte erweiterte Kreditlinie hat es nicht gegeben. Ihr eigener Engagementvermerk spricht von </w:t>
      </w:r>
      <w:r>
        <w:rPr>
          <w:b/>
        </w:rPr>
        <w:t>Duldung</w:t>
      </w:r>
      <w:r>
        <w:t>, befristet sie auf längstens zwei Wochen, stellt sie unter tägliche Überwachung und gibt als Engagementstrategie „Reduzieren" vor; im Gespräch vom 28. Januar 2026 hat Ihre Mandantin eine Rahmenerhöhung ausdrücklich abgelehnt. Eine nur widerruflich, wochenweise und unter der Bedingung sinkender Salden geduldete Inanspruchnahme gewährt der Schuldnerin keinen Anspruch auf Kredit — und Ihrer Mandantin keinen Anspruch darauf, ihre Rückführungserwartung gerade durch Verrechnung der laufenden Eingänge in der kritischen Zeit befriedigt zu sehen.</w:t>
      </w:r>
    </w:p>
    <w:p>
      <w:pPr>
        <w:spacing w:line="259" w:lineRule="auto" w:after="60"/>
        <w:jc w:val="left"/>
      </w:pPr>
      <w:r>
        <w:t xml:space="preserve">Auch der Hinweis auf § 488 Abs. 1 Satz 2 BGB führt nicht weiter. Dass Ihre Mandantin die Rückzahlung der ungenehmigten Überziehung jederzeit verlangen konnte, besagt nur, dass ein fälliger Anspruch bestand. Inkongruent ist eine Deckung aber schon dann, wenn der Gläubiger sie </w:t>
      </w:r>
      <w:r>
        <w:rPr>
          <w:b/>
        </w:rPr>
        <w:t>nicht in der Art</w:t>
      </w:r>
      <w:r>
        <w:t xml:space="preserve"> zu beanspruchen hatte. Einen Anspruch darauf, sich fortlaufend und vor allen anderen Gläubigern aus sämtlichen Betriebseinnahmen der Schuldnerin zu befriedigen, gab weder der Kreditvertrag noch die Duldung her.</w:t>
      </w:r>
    </w:p>
    <w:p>
      <w:pPr>
        <w:pStyle w:val="Heading2"/>
        <w:spacing w:line="259" w:lineRule="auto" w:after="60"/>
      </w:pPr>
      <w:r>
        <w:rPr>
          <w:rFonts w:ascii="Times New Roman" w:hAnsi="Times New Roman"/>
        </w:rPr>
        <w:t>4 Kenntnis: Ihre Mandantin wusste, was sie im eigenen Vermerk festgehalten hat</w:t>
      </w:r>
    </w:p>
    <w:p>
      <w:pPr>
        <w:spacing w:line="259" w:lineRule="auto" w:after="60"/>
        <w:jc w:val="left"/>
      </w:pPr>
      <w:r>
        <w:t xml:space="preserve">Den Einwand der bloßen Zahlungsstockung widerlegen die Unterlagen Ihrer Mandantin selbst. Der Engagementvermerk vom 10. Dezember 2025 attestiert eine „nachhaltige Liquiditätskrise ... seit dem Frühjahr 2025", verzeichnet die Rückstände bei AOK Nordwest und Finanzamt aus der OPOS-Liste und setzt die Kontoampel auf Rot. Ab Januar 2026 hat Ihre Mandantin fällige Zahlungen der Schuldnerin an das Finanzamt (Umsatzsteuer Dezember 2025) und die AOK (Beitragsrate Januar 2026) </w:t>
      </w:r>
      <w:r>
        <w:rPr>
          <w:b/>
        </w:rPr>
        <w:t>mangels Deckung selbst nicht ausgeführt</w:t>
      </w:r>
      <w:r>
        <w:t xml:space="preserve"> (Anlage 2 zum Anfechtungsschreiben); wer die Nichtzahlung von Steuern und Sozialversicherungsbeiträgen über Monate aus eigener Anschauung kennt und zugleich Einzelfreigaben nach Kassenlage erteilt, kennt Umstände, die zwingend auf die Zahlungsunfähigkeit schließen lassen (§ 130 Abs. 2 InsO). Dass die Schuldnerin daneben Ratenzahlungsvereinbarungen mit eben diesen Zwangsgläubigern schließen musste, entlastet nicht, sondern bestätigt das Bild.</w:t>
      </w:r>
    </w:p>
    <w:p>
      <w:pPr>
        <w:spacing w:line="259" w:lineRule="auto" w:after="60"/>
        <w:jc w:val="left"/>
      </w:pPr>
      <w:r>
        <w:t xml:space="preserve">Nur ergänzend: Nach dem als Anlage 3 beigefügten Liquiditätsstatus bestand die Unterdeckung von mehr als zehn Prozent der fälligen Verbindlichkeiten durchgehend seit </w:t>
      </w:r>
      <w:r>
        <w:rPr>
          <w:b/>
        </w:rPr>
        <w:t>Ende April 2025</w:t>
      </w:r>
      <w:r>
        <w:t xml:space="preserve"> — nicht erst, wie der Eigenantrag meint, seit dem Frühjahr 2026. Auf den genauen Eintrittszeitpunkt kommt es für § 131 Abs. 1 Nr. 1 InsO ohnehin nicht an.</w:t>
      </w:r>
    </w:p>
    <w:p>
      <w:pPr>
        <w:pStyle w:val="Heading2"/>
        <w:spacing w:line="259" w:lineRule="auto" w:after="60"/>
      </w:pPr>
      <w:r>
        <w:rPr>
          <w:rFonts w:ascii="Times New Roman" w:hAnsi="Times New Roman"/>
        </w:rPr>
        <w:t>5 Die Globalzession beseitigt die Gläubigerbenachteiligung nicht</w:t>
      </w:r>
    </w:p>
    <w:p>
      <w:pPr>
        <w:spacing w:line="259" w:lineRule="auto" w:after="60"/>
        <w:jc w:val="left"/>
      </w:pPr>
      <w:r>
        <w:t xml:space="preserve">Ihr Absonderungseinwand übersieht, dass sich der Bestand der zedierten Forderungen in einem laufenden Großhandelsgeschäft revolvierend erneuert. Die Globalzession erfasst künftige Forderungen; das Sicherungsrecht an einer einzelnen Forderung entsteht erst mit dieser selbst, und werthaltig wird es erst mit der Belieferung des Kunden (§ 140 Abs. 1 InsO). Ein erheblicher Teil der im Zeitraum 15. Januar bis 15. April 2026 vereinnahmten Eingänge beruht auf Forderungen, die erst in der kritischen Zeit </w:t>
      </w:r>
      <w:r>
        <w:rPr>
          <w:b/>
        </w:rPr>
        <w:t>entstanden oder durch die fortgesetzten Auslieferungen der Schuldnerin werthaltig gemacht</w:t>
      </w:r>
      <w:r>
        <w:t xml:space="preserve"> worden sind — Auslieferungen, die Ihre Mandantin über die Einzelfreigaben für den Wareneinkauf gerade ermöglicht hat, um den Zessionsbestand aufzufüllen. Der Erwerb bzw. die Werthaltigmachung des Sicherungsrechts in der kritischen Zeit ist als eigenständige Rechtshandlung nach §§ 130, 131 InsO anfechtbar; eine anfechtbar erworbene Sicherheit gewährt kein anfechtungsfestes Absonderungsrecht und schließt die Gläubigerbenachteiligung nicht aus. Für die Behauptung, die Eingänge beruhten durchweg auf altbesicherten, vor der kritischen Zeit entstandenen und bereits werthaltigen Forderungen, ist Ihre Mandantin darlegungs- und beweisbelastet; für jede einzelne Forderung wird um Vorlage von Rechnungs- und Lieferdatum gebeten.</w:t>
      </w:r>
    </w:p>
    <w:p>
      <w:pPr>
        <w:pStyle w:val="Heading2"/>
        <w:spacing w:line="259" w:lineRule="auto" w:after="60"/>
      </w:pPr>
      <w:r>
        <w:rPr>
          <w:rFonts w:ascii="Times New Roman" w:hAnsi="Times New Roman"/>
        </w:rPr>
        <w:t>6 Fristsetzung</w:t>
      </w:r>
    </w:p>
    <w:p>
      <w:pPr>
        <w:spacing w:line="259" w:lineRule="auto" w:after="60"/>
        <w:jc w:val="left"/>
      </w:pPr>
      <w:r>
        <w:t xml:space="preserve">Ich fordere Ihre Mandantin letztmalig auf, </w:t>
      </w:r>
      <w:r>
        <w:rPr>
          <w:b/>
        </w:rPr>
        <w:t>88.420,00 EUR</w:t>
      </w:r>
      <w:r>
        <w:t xml:space="preserve"> nebst Zinsen seit Eröffnung bis zum </w:t>
      </w:r>
      <w:r>
        <w:rPr>
          <w:b/>
        </w:rPr>
        <w:t>24. Juli 2026</w:t>
      </w:r>
      <w:r>
        <w:t xml:space="preserve"> auf das Anderkonto der Verwaltung zu zahlen. Nach fruchtlosem Fristablauf werde ich Klage vor dem Landgericht Dortmund erheben. Zu dem von Ihnen angeregten Gespräch über eine Gesamtbereinigung bin ich bereit, wenn Ihre Mandantin zuvor die Verwertungserlöse aus dem Warenlager offenlegt.</w:t>
      </w:r>
    </w:p>
    <w:p>
      <w:pPr>
        <w:spacing w:line="259" w:lineRule="auto" w:after="60"/>
        <w:jc w:val="left"/>
      </w:pPr>
      <w:r>
        <w:t>Mit freundlichen kollegialen Grüßen</w:t>
      </w:r>
    </w:p>
    <w:p>
      <w:pPr>
        <w:spacing w:line="259" w:lineRule="auto" w:after="60"/>
        <w:jc w:val="left"/>
      </w:pPr>
      <w:r>
        <w:t>Dr. Konstantin Wehmeyer</w:t>
      </w:r>
    </w:p>
    <w:p>
      <w:pPr>
        <w:spacing w:line="259" w:lineRule="auto" w:after="60"/>
        <w:jc w:val="left"/>
      </w:pPr>
      <w:r>
        <w:t>Rechtsanwalt, Insolvenzverwalter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