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Konsortialkreditvertrag vom 12. Mai 2023 (Auszug)</w:t>
      </w:r>
    </w:p>
    <w:p>
      <w:pPr>
        <w:spacing w:line="259" w:lineRule="auto" w:after="60"/>
        <w:jc w:val="left"/>
      </w:pPr>
      <w:r>
        <w:rPr>
          <w:b/>
        </w:rPr>
        <w:t>Auszugsweise Abschrift aus der Kreditakte 44-081-227; für die Verwalterakte gefertigt am 22. Mai 2026 (Verwalterbüro Mangold, Az. 118/26 SM). Ausgelassene Teile sind mit […] gekennzeichnet.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Konsortialkreditvertrag</w:t>
      </w:r>
    </w:p>
    <w:p>
      <w:pPr>
        <w:spacing w:line="259" w:lineRule="auto" w:after="60"/>
        <w:jc w:val="left"/>
      </w:pPr>
      <w:r>
        <w:t xml:space="preserve">zwischen der </w:t>
      </w:r>
      <w:r>
        <w:rPr>
          <w:b/>
        </w:rPr>
        <w:t>Karrenberg Industrieholding GmbH</w:t>
      </w:r>
      <w:r>
        <w:t xml:space="preserve">, Stuttgart (HRB 690318), — "Kreditnehmerin" — und der </w:t>
      </w:r>
      <w:r>
        <w:rPr>
          <w:b/>
        </w:rPr>
        <w:t>Süddeutschen Kreditbank AG</w:t>
      </w:r>
      <w:r>
        <w:t xml:space="preserve">, Stuttgart, zugleich als Konsortialführerin, sowie dem </w:t>
      </w:r>
      <w:r>
        <w:rPr>
          <w:b/>
        </w:rPr>
        <w:t>Bankhaus Löwental KGaA</w:t>
      </w:r>
      <w:r>
        <w:t>, München, — zusammen "Banken" —.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Kreditrahmen (Ziffer 2 des Vertrags)</w:t>
      </w:r>
    </w:p>
    <w:p>
      <w:pPr>
        <w:spacing w:line="259" w:lineRule="auto" w:after="60"/>
        <w:jc w:val="left"/>
      </w:pPr>
      <w:r>
        <w:t xml:space="preserve">Die Banken gewähren der Kreditnehmerin einen Kredit in Höhe von insgesamt </w:t>
      </w:r>
      <w:r>
        <w:rPr>
          <w:b/>
        </w:rPr>
        <w:t>18.000.000 EUR</w:t>
      </w:r>
      <w:r>
        <w:t>, bestehend aus einer Tranche A (Prolongation und Zusammenführung bestehender Betriebsmittellinien) über 12.000.000 EUR und einer neuen Tranche B (zusätzliche Betriebsmittel- und Restrukturierungslinie) über 6.000.000 EUR. Die Tranche B dient ausschließlich der Finanzierung des Maßnahmenprogramms gemäß dem Sanierungskonzept der Treumann &amp; Cie. Wirtschaftsprüfungsgesellschaft vom 28. April 2023. Laufzeit bis zum 30. Juni 2026. […]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 Auszahlungsvoraussetzungen (Ziffer 5 des Vertrags)</w:t>
      </w:r>
    </w:p>
    <w:p>
      <w:pPr>
        <w:spacing w:line="259" w:lineRule="auto" w:after="60"/>
        <w:jc w:val="left"/>
      </w:pPr>
      <w:r>
        <w:t>Die Auszahlung der Tranche B setzt unter anderem voraus: […] (d) die Bestellung einer erstrangigen Grundschuld über 1.200.000 EUR am Betriebsgrundstück der Feinwerk Präzisionswerkzeuge GmbH (Grundbuch von Feuerbach Blatt 8214) nebst Zweckerklärung; (e) die selbstschuldnerische Höchstbetragsbürgschaft der Feinwerk Präzisionswerkzeuge GmbH über 800.000 EUR; (f) die Verpfändung der Geschäftsanteile der Kreditnehmerin an der Karrenberg Anlagenbau GmbH; (g) die Bestätigung des Sanierungsgutachters, dass mit der überwiegenden Wahrscheinlichkeit von der Durchfinanzierung der Gruppe im Planungszeitraum auszugehen ist. […]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Sicherheiten (Ziffer 9 des Vertrags)</w:t>
      </w:r>
    </w:p>
    <w:p>
      <w:pPr>
        <w:spacing w:line="259" w:lineRule="auto" w:after="60"/>
        <w:jc w:val="left"/>
      </w:pPr>
      <w:r>
        <w:t>Sämtliche in Ziffer 5 genannten Sicherheiten sichern alle Ansprüche der Banken aus diesem Vertrag. Die Sicherheitengeber erhalten für die Bestellung keine Vergütung durch die Banken. Interne Ausgleichsansprüche innerhalb der Karrenberg-Gruppe regeln die Gruppengesellschaften untereinander; die Banken übernehmen hierfür keine Verantwortung. […]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Auflagen (Ziffer 12 des Vertrags)</w:t>
      </w:r>
    </w:p>
    <w:p>
      <w:pPr>
        <w:spacing w:line="259" w:lineRule="auto" w:after="60"/>
        <w:jc w:val="left"/>
      </w:pPr>
      <w:r>
        <w:t>Die Kreditnehmerin verpflichtet sich, […] (c) den Banken vierteljährlich einen Statusbericht zur Umsetzung des Maßnahmenprogramms vorzulegen; (d) Änderungen der Auftragsvergabe an die Feinwerk Präzisionswerkzeuge GmbH von mehr als 20 Prozent gegenüber dem Vorjahr anzuzeigen. […]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 Unterschriften (Ziffer 18 des Vertrags)</w:t>
      </w:r>
    </w:p>
    <w:p>
      <w:pPr>
        <w:spacing w:line="259" w:lineRule="auto" w:after="60"/>
        <w:jc w:val="left"/>
      </w:pPr>
      <w:r>
        <w:t>Stuttgart, den 12. Mai 2023</w:t>
      </w:r>
    </w:p>
    <w:p>
      <w:pPr>
        <w:spacing w:line="259" w:lineRule="auto" w:after="60"/>
        <w:jc w:val="left"/>
      </w:pPr>
      <w:r>
        <w:t>Für die Kreditnehmerin: gez. Claus-Peter Karrenberg, Geschäftsführer</w:t>
      </w:r>
    </w:p>
    <w:p>
      <w:pPr>
        <w:spacing w:line="259" w:lineRule="auto" w:after="60"/>
        <w:jc w:val="left"/>
      </w:pPr>
      <w:r>
        <w:t>Für die Süddeutsche Kreditbank AG: gez. Dr. Anselm Reutter, gez. ppa. Katrin Wildermuth</w:t>
      </w:r>
    </w:p>
    <w:p>
      <w:pPr>
        <w:spacing w:line="259" w:lineRule="auto" w:after="60"/>
        <w:jc w:val="left"/>
      </w:pPr>
      <w:r>
        <w:t>Für das Bankhaus Löwental KGaA: gez. Maximilian Freiherr von Löwental</w:t>
      </w:r>
    </w:p>
    <w:p>
      <w:pPr>
        <w:spacing w:line="259" w:lineRule="auto" w:after="60"/>
        <w:jc w:val="left"/>
      </w:pPr>
      <w:r>
        <w:rPr>
          <w:i/>
        </w:rPr>
        <w:t>Anmerkung des Verwalterbüros: Die Feinwerk Präzisionswerkzeuge GmbH ist nicht Vertragspartei des Konsortialkreditvertrags. Ein konzerninterner Ausgleichs- oder Vergütungsvertrag im Sinne der Ziffer 9 Satz 3 ist trotz Anforderung beim Verwalter der Holding nicht auffindbar.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