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Sanierungsgutachten für die Karrenberg Industrieholding GmbH (Auszug)</w:t>
      </w:r>
    </w:p>
    <w:p>
      <w:pPr>
        <w:spacing w:before="120" w:after="60" w:line="259" w:lineRule="auto"/>
        <w:jc w:val="left"/>
      </w:pPr>
      <w:r>
        <w:rPr>
          <w:rFonts w:ascii="Times New Roman" w:hAnsi="Times New Roman"/>
          <w:b/>
          <w:sz w:val="22"/>
        </w:rPr>
        <w:t>Treumann &amp; Cie. GmbH Wirtschaftsprüfungsgesellschaft</w:t>
      </w:r>
    </w:p>
    <w:p>
      <w:pPr>
        <w:spacing w:before="120" w:after="60" w:line="259" w:lineRule="auto"/>
        <w:jc w:val="left"/>
      </w:pPr>
      <w:r>
        <w:rPr>
          <w:rFonts w:ascii="Times New Roman" w:hAnsi="Times New Roman"/>
          <w:b/>
          <w:sz w:val="22"/>
        </w:rPr>
        <w:t>Bolzstraße 3, 70173 Stuttgart</w:t>
      </w:r>
    </w:p>
    <w:p>
      <w:pPr>
        <w:spacing w:line="259" w:lineRule="auto" w:after="60"/>
        <w:jc w:val="left"/>
      </w:pPr>
      <w:r>
        <w:t>Gutachten über die Sanierungsfähigkeit der Karrenberg Industrieholding GmbH, Stuttgart, in Anlehnung an den Standard IDW S6</w:t>
      </w:r>
    </w:p>
    <w:p>
      <w:pPr>
        <w:spacing w:before="120" w:after="60" w:line="259" w:lineRule="auto"/>
        <w:jc w:val="left"/>
      </w:pPr>
      <w:r>
        <w:rPr>
          <w:rFonts w:ascii="Times New Roman" w:hAnsi="Times New Roman"/>
          <w:b/>
          <w:sz w:val="22"/>
        </w:rPr>
        <w:t>Stand: 28. April 2023</w:t>
      </w:r>
    </w:p>
    <w:p>
      <w:pPr>
        <w:spacing w:before="120" w:after="60" w:line="259" w:lineRule="auto"/>
        <w:jc w:val="left"/>
      </w:pPr>
      <w:r>
        <w:rPr>
          <w:rFonts w:ascii="Times New Roman" w:hAnsi="Times New Roman"/>
          <w:b/>
          <w:sz w:val="22"/>
        </w:rPr>
        <w:t>Auftraggeberin: Karrenberg Industrieholding GmbH</w:t>
      </w:r>
    </w:p>
    <w:p>
      <w:pPr>
        <w:spacing w:before="120" w:after="60" w:line="259" w:lineRule="auto"/>
        <w:jc w:val="left"/>
      </w:pPr>
      <w:r>
        <w:rPr>
          <w:rFonts w:ascii="Times New Roman" w:hAnsi="Times New Roman"/>
          <w:b/>
          <w:sz w:val="22"/>
        </w:rPr>
        <w:t>Verteiler: Geschäftsführung; Süddeutsche Kreditbank AG; Bankhaus Löwental KGaA</w:t>
      </w:r>
    </w:p>
    <w:p>
      <w:pPr>
        <w:spacing w:line="259" w:lineRule="auto" w:after="60"/>
        <w:jc w:val="left"/>
      </w:pPr>
      <w:r>
        <w:rPr>
          <w:i/>
        </w:rPr>
        <w:t>Auszugsweise Abschrift für die Verwalterakte 118/26 SM; übernommen sind die Abschnitte 1, 4, 6 und 9 der Langfassung. Auslassungen sind mit […] gekennzeichnet.</w:t>
      </w:r>
    </w:p>
    <w:p>
      <w:pPr>
        <w:pStyle w:val="Heading2"/>
        <w:spacing w:line="259" w:lineRule="auto" w:after="60"/>
      </w:pPr>
      <w:r>
        <w:rPr>
          <w:rFonts w:ascii="Times New Roman" w:hAnsi="Times New Roman"/>
        </w:rPr>
        <w:t>1 Auftrag und zusammenfassendes Ergebnis</w:t>
      </w:r>
    </w:p>
    <w:p>
      <w:pPr>
        <w:spacing w:line="259" w:lineRule="auto" w:after="60"/>
        <w:jc w:val="left"/>
      </w:pPr>
      <w:r>
        <w:t xml:space="preserve">Die Karrenberg Industrieholding GmbH hat uns am 20. Februar 2023 beauftragt, ihre Sanierungsfähigkeit zu begutachten. Zusammenfassend kommen wir zu dem Ergebnis: Die Gesellschaft ist </w:t>
      </w:r>
      <w:r>
        <w:rPr>
          <w:b/>
        </w:rPr>
        <w:t>drohend zahlungsunfähig im Sinne des § 18 InsO</w:t>
      </w:r>
      <w:r>
        <w:t xml:space="preserve">; ohne die Bereitstellung der neuen Kredittranche über 6,0 Mio. EUR tritt nach der integrierten Finanzplanung </w:t>
      </w:r>
      <w:r>
        <w:rPr>
          <w:b/>
        </w:rPr>
        <w:t>spätestens im August 2023 Zahlungsunfähigkeit</w:t>
      </w:r>
      <w:r>
        <w:t xml:space="preserve"> ein. Eine insolvenzrechtliche Überschuldung liegt bei Ansatz von Fortführungswerten derzeit nicht vor; die Fortbestehensprognose ist jedoch </w:t>
      </w:r>
      <w:r>
        <w:rPr>
          <w:b/>
        </w:rPr>
        <w:t>nur unter der Bedingung positiv</w:t>
      </w:r>
      <w:r>
        <w:t>, dass sämtliche in Abschnitt 7 beschriebenen Maßnahmen vollständig und fristgerecht umgesetzt werden und die Banken die Finanzierung bis mindestens 30. Juni 2026 sicherstellen. Unter diesen Bedingungen ist die Gesellschaft mit überwiegender Wahrscheinlichkeit sanierungsfähig.</w:t>
      </w:r>
    </w:p>
    <w:p>
      <w:pPr>
        <w:pStyle w:val="Heading2"/>
        <w:spacing w:line="259" w:lineRule="auto" w:after="60"/>
      </w:pPr>
      <w:r>
        <w:rPr>
          <w:rFonts w:ascii="Times New Roman" w:hAnsi="Times New Roman"/>
        </w:rPr>
        <w:t>4 Wirtschaftliche Lage (Krisenstadium)</w:t>
      </w:r>
    </w:p>
    <w:p>
      <w:pPr>
        <w:spacing w:line="259" w:lineRule="auto" w:after="60"/>
        <w:jc w:val="left"/>
      </w:pPr>
      <w:r>
        <w:t xml:space="preserve">Die Gruppe befindet sich in einer fortgeschrittenen </w:t>
      </w:r>
      <w:r>
        <w:rPr>
          <w:b/>
        </w:rPr>
        <w:t>Erfolgs- und Liquiditätskrise</w:t>
      </w:r>
      <w:r>
        <w:t>. Der konsolidierte Umsatz ist von 148,3 Mio. EUR (2019) auf 109,4 Mio. EUR (2022) gesunken; das EBITDA war 2022 mit −1,3 Mio. EUR erstmals negativ. Das Eigenkapital der Holding hat sich seit 2019 von 38,4 Mio. EUR auf 17,3 Mio. EUR reduziert (Eigenkapitalquote 12,6 Prozent); zum 31. März 2023 beträgt es nach vorläufigen Zahlen noch 13,7 Mio. EUR (9,8 Prozent). Die Nettofinanzverschuldung ist auf 51,2 Mio. EUR gestiegen. Die freien Linien der Gruppe waren zum 31. März 2023 zu 96 Prozent ausgenutzt. […] Ohne frisches Fremdkapital kann die Holding die im Juli und August 2023 fälligen Tilgungen und die Vorfinanzierung des Auftragsbestands nicht darstellen.</w:t>
      </w:r>
    </w:p>
    <w:p>
      <w:pPr>
        <w:pStyle w:val="Heading2"/>
        <w:spacing w:line="259" w:lineRule="auto" w:after="60"/>
      </w:pPr>
      <w:r>
        <w:rPr>
          <w:rFonts w:ascii="Times New Roman" w:hAnsi="Times New Roman"/>
        </w:rPr>
        <w:t>6 Werthaltigkeit konzerninterner Ansprüche</w:t>
      </w:r>
    </w:p>
    <w:p>
      <w:pPr>
        <w:spacing w:line="259" w:lineRule="auto" w:after="60"/>
        <w:jc w:val="left"/>
      </w:pPr>
      <w:r>
        <w:t xml:space="preserve">Forderungen von Tochtergesellschaften gegen die Holding — einschließlich künftiger Regress- und Aufwendungsersatzansprüche aus für die Holding bestellten Sicherheiten — sind nach unserer Einschätzung </w:t>
      </w:r>
      <w:r>
        <w:rPr>
          <w:b/>
        </w:rPr>
        <w:t>im gegenwärtigen Zustand nur eingeschränkt werthaltig</w:t>
      </w:r>
      <w:r>
        <w:t xml:space="preserve">: Die Holding verfügt über kein eigenes operatives Geschäft; ihre Aktiva bestehen im Wesentlichen aus Beteiligungsbuchwerten, deren Verkehrswert im Krisenszenario deutlich unter Buchwert liegt, sowie aus Forderungen aus dem Cash-Pooling gegen ihrerseits angespannte Tochtergesellschaften. Im Insolvenzszenario der Holding wäre nach unserer indikativen Rechnung mit einer Quote im </w:t>
      </w:r>
      <w:r>
        <w:rPr>
          <w:b/>
        </w:rPr>
        <w:t>niedrigen einstelligen Prozentbereich</w:t>
      </w:r>
      <w:r>
        <w:t xml:space="preserve"> zu rechnen. Die Sanierungsfähigkeit hängt daher vollständig von der Umsetzung des Maßnahmenprogramms ab.</w:t>
      </w:r>
    </w:p>
    <w:p>
      <w:pPr>
        <w:pStyle w:val="Heading2"/>
        <w:spacing w:line="259" w:lineRule="auto" w:after="60"/>
      </w:pPr>
      <w:r>
        <w:rPr>
          <w:rFonts w:ascii="Times New Roman" w:hAnsi="Times New Roman"/>
        </w:rPr>
        <w:t>9 Schlussbemerkung</w:t>
      </w:r>
    </w:p>
    <w:p>
      <w:pPr>
        <w:spacing w:line="259" w:lineRule="auto" w:after="60"/>
        <w:jc w:val="left"/>
      </w:pPr>
      <w:r>
        <w:t>Dieses Gutachten ist zur Vorlage bei den finanzierenden Banken bestimmt. Es beruht auf den uns bis zum 21. April 2023 zur Verfügung gestellten Unterlagen und Auskünften der Geschäftsführung. […]</w:t>
      </w:r>
    </w:p>
    <w:p>
      <w:pPr>
        <w:spacing w:line="259" w:lineRule="auto" w:after="60"/>
        <w:jc w:val="left"/>
      </w:pPr>
      <w:r>
        <w:t>Stuttgart, den 28. April 2023</w:t>
      </w:r>
    </w:p>
    <w:p>
      <w:pPr>
        <w:spacing w:line="259" w:lineRule="auto" w:after="60"/>
        <w:jc w:val="left"/>
      </w:pPr>
      <w:r>
        <w:t>gez. WP Dr. Cornelius Treumann · gez. WP StB Annette Feuerbacher</w:t>
      </w:r>
    </w:p>
    <w:p>
      <w:pPr>
        <w:spacing w:line="259" w:lineRule="auto" w:after="60"/>
        <w:jc w:val="left"/>
      </w:pPr>
      <w:r>
        <w:t>Treumann &amp; Cie. GmbH Wirtschaftsprüfungsgesellschaft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