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Bankinternes Rating- und Votumsmemo zum Karrenberg-Engagement (Mai 2023)</w:t>
      </w:r>
    </w:p>
    <w:p>
      <w:pPr>
        <w:spacing w:before="120" w:after="60" w:line="259" w:lineRule="auto"/>
        <w:jc w:val="left"/>
      </w:pPr>
      <w:r>
        <w:rPr>
          <w:rFonts w:ascii="Times New Roman" w:hAnsi="Times New Roman"/>
          <w:b/>
          <w:sz w:val="22"/>
        </w:rPr>
        <w:t>Süddeutsche Kreditbank AG – Bereich Firmenkunden, Marktfolge Kredit</w:t>
      </w:r>
    </w:p>
    <w:p>
      <w:pPr>
        <w:spacing w:before="120" w:after="60" w:line="259" w:lineRule="auto"/>
        <w:jc w:val="left"/>
      </w:pPr>
      <w:r>
        <w:rPr>
          <w:rFonts w:ascii="Times New Roman" w:hAnsi="Times New Roman"/>
          <w:b/>
          <w:sz w:val="22"/>
        </w:rPr>
        <w:t>Internes Memo – nur für den Dienstgebrauch</w:t>
      </w:r>
    </w:p>
    <w:p>
      <w:pPr>
        <w:spacing w:before="120" w:after="60" w:line="259" w:lineRule="auto"/>
        <w:jc w:val="left"/>
      </w:pPr>
      <w:r>
        <w:rPr>
          <w:rFonts w:ascii="Times New Roman" w:hAnsi="Times New Roman"/>
          <w:b/>
          <w:sz w:val="22"/>
        </w:rPr>
        <w:t>Kreditakte 44-081-227, Engagement Karrenberg Industrieholding GmbH</w:t>
      </w:r>
    </w:p>
    <w:p>
      <w:pPr>
        <w:spacing w:before="120" w:after="60" w:line="259" w:lineRule="auto"/>
        <w:jc w:val="left"/>
      </w:pPr>
      <w:r>
        <w:rPr>
          <w:rFonts w:ascii="Times New Roman" w:hAnsi="Times New Roman"/>
          <w:b/>
          <w:sz w:val="22"/>
        </w:rPr>
        <w:t>Verfasser: Dir. Marktfolge Ewald Brenneisen / Analystin Dr. Silja Kortmann</w:t>
      </w:r>
    </w:p>
    <w:p>
      <w:pPr>
        <w:spacing w:before="120" w:after="60" w:line="259" w:lineRule="auto"/>
        <w:jc w:val="left"/>
      </w:pPr>
      <w:r>
        <w:rPr>
          <w:rFonts w:ascii="Times New Roman" w:hAnsi="Times New Roman"/>
          <w:b w:val="0"/>
          <w:i w:val="0"/>
          <w:sz w:val="22"/>
        </w:rPr>
        <w:t>Datum: 5. Mai 2023</w:t>
      </w:r>
    </w:p>
    <w:p>
      <w:pPr>
        <w:spacing w:line="259" w:lineRule="auto" w:after="60"/>
        <w:jc w:val="left"/>
      </w:pPr>
      <w:r>
        <w:rPr>
          <w:i/>
        </w:rPr>
        <w:t>Herkunftsvermerk des Verwalterbüros Mangold (Az. 118/26 SM): Das Memo ist Bestandteil der Kreditakte, die der Insolvenzverwalter der Karrenberg Industrieholding GmbH (Prof. Dr. Hetzel, 6 IN 1841/25) von der Bank erhalten und uns im Rahmen der Verwalterkooperation vom 19. Mai 2026 in Abschrift überlassen hat.</w:t>
      </w:r>
    </w:p>
    <w:p>
      <w:pPr>
        <w:pStyle w:val="Heading2"/>
        <w:spacing w:before="120" w:after="60" w:line="259" w:lineRule="auto"/>
      </w:pPr>
      <w:r>
        <w:rPr>
          <w:rFonts w:ascii="Times New Roman" w:hAnsi="Times New Roman"/>
          <w:b/>
          <w:sz w:val="22"/>
        </w:rPr>
        <w:t>1 Ratingeinstufung</w:t>
      </w:r>
    </w:p>
    <w:p>
      <w:pPr>
        <w:spacing w:line="259" w:lineRule="auto" w:after="60"/>
        <w:jc w:val="left"/>
      </w:pPr>
      <w:r>
        <w:t xml:space="preserve">Das interne Rating der Karrenberg Industrieholding GmbH wird von Stufe 11 auf </w:t>
      </w:r>
      <w:r>
        <w:rPr>
          <w:b/>
        </w:rPr>
        <w:t>Stufe 14 (von 18; Ausfallwahrscheinlichkeit 1 Jahr: 8,4 Prozent)</w:t>
      </w:r>
      <w:r>
        <w:t xml:space="preserve"> herabgesetzt. Auslöser sind das negative EBITDA 2022, die auf 9,8 Prozent gesunkene Eigenkapitalquote per 31. März 2023 und die nahezu vollständige Linienausnutzung. Das Engagement wird der Intensivbetreuung zugeordnet. Ohne Neutranche erwartet die Marktfolge den Ausfall im dritten Quartal 2023 (vgl. Treumann-Gutachten vom 28. April 2023, Abschnitt 1).</w:t>
      </w:r>
    </w:p>
    <w:p>
      <w:pPr>
        <w:pStyle w:val="Heading2"/>
        <w:spacing w:line="259" w:lineRule="auto" w:after="60"/>
      </w:pPr>
      <w:r>
        <w:rPr>
          <w:rFonts w:ascii="Times New Roman" w:hAnsi="Times New Roman"/>
        </w:rPr>
        <w:t>2 Blankoanteil und Sicherheitenstrategie</w:t>
      </w:r>
    </w:p>
    <w:p>
      <w:pPr>
        <w:spacing w:line="259" w:lineRule="auto" w:after="60"/>
        <w:jc w:val="left"/>
      </w:pPr>
      <w:r>
        <w:t xml:space="preserve">Die Bestandslinien (12,0 Mio. EUR anteilig SKB) sind nach Abschlägen nur zu rund 45 Prozent durch werthaltige Sicherheiten gedeckt. Ein weitergehender Blankokredit an die Holding ist nach Risikolage </w:t>
      </w:r>
      <w:r>
        <w:rPr>
          <w:b/>
        </w:rPr>
        <w:t>nicht vertretbar</w:t>
      </w:r>
      <w:r>
        <w:t xml:space="preserve">. Die Marktfolge stimmt der Neutranche B (anteilig 3,6 Mio. EUR SKB) nur unter der Bedingung zu, dass </w:t>
      </w:r>
      <w:r>
        <w:rPr>
          <w:b/>
        </w:rPr>
        <w:t>werthaltige Drittsicherheiten aus dem Konzernvermögen</w:t>
      </w:r>
      <w:r>
        <w:t xml:space="preserve"> hereingenommen werden, namentlich die erstrangige Grundschuld über 1,2 Mio. EUR am unbelasteten Betriebsgrundstück der Feinwerk Präzisionswerkzeuge GmbH (Beleihungswert nach Gutachten Stand März 2023: 1,41 Mio. EUR) sowie deren Höchstbetragsbürgschaft über 0,8 Mio. EUR.</w:t>
      </w:r>
    </w:p>
    <w:p>
      <w:pPr>
        <w:pStyle w:val="Heading2"/>
        <w:spacing w:line="259" w:lineRule="auto" w:after="60"/>
      </w:pPr>
      <w:r>
        <w:rPr>
          <w:rFonts w:ascii="Times New Roman" w:hAnsi="Times New Roman"/>
        </w:rPr>
        <w:t>3 Bewertung etwaiger Rückgriffsansprüche der Sicherheitengeberin</w:t>
      </w:r>
    </w:p>
    <w:p>
      <w:pPr>
        <w:spacing w:line="259" w:lineRule="auto" w:after="60"/>
        <w:jc w:val="left"/>
      </w:pPr>
      <w:r>
        <w:t xml:space="preserve">Für die Zwecke der Sicherheitenbewertung ist der Rückgriffsanspruch der Feinwerk Präzisionswerkzeuge GmbH gegen die Holding im Verwertungsfall </w:t>
      </w:r>
      <w:r>
        <w:rPr>
          <w:b/>
        </w:rPr>
        <w:t>als nicht belastbar anzusehen</w:t>
      </w:r>
      <w:r>
        <w:t>: Die Holding ist eine Beteiligungsholding ohne operatives Geschäft; im Verwertungsfall — der den Ausfall der Holding voraussetzt — wäre der Regress der Tochter eine bloße Insolvenzforderung mit einer erwarteten Befriedigung im niedrigen einstelligen Prozentbereich (Treumann, Abschnitt 6). Genau deshalb erfüllt das Feuerbacher Grundstück die Funktion einer echten Zusatzsicherheit; ein Rückgriff, der werthaltig wäre, würde die Sicherheit ökonomisch entwerten. Auf die Hereinnahme einer Vergütungsabrede zugunsten der Tochter wird verzichtet; eine solche würde die Liquidität der Gruppe zusätzlich belasten.</w:t>
      </w:r>
    </w:p>
    <w:p>
      <w:pPr>
        <w:pStyle w:val="Heading2"/>
        <w:spacing w:line="259" w:lineRule="auto" w:after="60"/>
      </w:pPr>
      <w:r>
        <w:rPr>
          <w:rFonts w:ascii="Times New Roman" w:hAnsi="Times New Roman"/>
        </w:rPr>
        <w:t>4 Votum</w:t>
      </w:r>
    </w:p>
    <w:p>
      <w:pPr>
        <w:spacing w:line="259" w:lineRule="auto" w:after="60"/>
        <w:jc w:val="left"/>
      </w:pPr>
      <w:r>
        <w:t xml:space="preserve">Marktfolge: </w:t>
      </w:r>
      <w:r>
        <w:rPr>
          <w:b/>
        </w:rPr>
        <w:t>Zustimmung unter Auflagen</w:t>
      </w:r>
      <w:r>
        <w:t xml:space="preserve"> (Sicherheiten gemäß Ziffer 2, Covenants gemäß Vertragsentwurf, vierteljährliches Monitoring). Wiedervorlage: 30. September 2023.</w:t>
      </w:r>
    </w:p>
    <w:p>
      <w:pPr>
        <w:spacing w:line="259" w:lineRule="auto" w:after="60"/>
        <w:jc w:val="left"/>
      </w:pPr>
      <w:r>
        <w:t>gez. Brenneisen · gez. Dr. Kortmann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