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Anfechtungsschreiben der Insolvenzverwalterin an die Bank</w:t>
      </w:r>
    </w:p>
    <w:p>
      <w:pPr>
        <w:spacing w:before="120" w:after="60" w:line="259" w:lineRule="auto"/>
        <w:jc w:val="left"/>
      </w:pPr>
      <w:r>
        <w:rPr>
          <w:rFonts w:ascii="Times New Roman" w:hAnsi="Times New Roman"/>
          <w:b/>
          <w:sz w:val="22"/>
        </w:rPr>
        <w:t>Mangold Restrukturierung Rechtsanwaltsgesellschaft mbH</w:t>
      </w:r>
    </w:p>
    <w:p>
      <w:pPr>
        <w:spacing w:before="120" w:after="60" w:line="259" w:lineRule="auto"/>
        <w:jc w:val="left"/>
      </w:pPr>
      <w:r>
        <w:rPr>
          <w:rFonts w:ascii="Times New Roman" w:hAnsi="Times New Roman"/>
          <w:b/>
          <w:sz w:val="22"/>
        </w:rPr>
        <w:t>Rechtsanwältin Dr. Sibylle Mangold</w:t>
      </w:r>
    </w:p>
    <w:p>
      <w:pPr>
        <w:spacing w:before="120" w:after="60" w:line="259" w:lineRule="auto"/>
        <w:jc w:val="left"/>
      </w:pPr>
      <w:r>
        <w:rPr>
          <w:rFonts w:ascii="Times New Roman" w:hAnsi="Times New Roman"/>
          <w:b/>
          <w:sz w:val="22"/>
        </w:rPr>
        <w:t>Königstraße 82, 70173 Stuttgart</w:t>
      </w:r>
    </w:p>
    <w:p>
      <w:pPr>
        <w:spacing w:before="120" w:after="60" w:line="259" w:lineRule="auto"/>
        <w:jc w:val="left"/>
      </w:pPr>
      <w:r>
        <w:rPr>
          <w:rFonts w:ascii="Times New Roman" w:hAnsi="Times New Roman"/>
          <w:b/>
          <w:sz w:val="22"/>
        </w:rPr>
        <w:t>Telefon 0711 66478-0 · kanzlei@mangold-restrukturierung.de</w:t>
      </w:r>
    </w:p>
    <w:p>
      <w:pPr>
        <w:spacing w:before="120" w:after="60" w:line="259" w:lineRule="auto"/>
        <w:jc w:val="left"/>
      </w:pPr>
      <w:r>
        <w:rPr>
          <w:rFonts w:ascii="Times New Roman" w:hAnsi="Times New Roman"/>
          <w:b/>
          <w:sz w:val="22"/>
        </w:rPr>
        <w:t>Unser Zeichen: 118/26 SM</w:t>
      </w:r>
    </w:p>
    <w:p>
      <w:pPr>
        <w:spacing w:before="120" w:after="60" w:line="259" w:lineRule="auto"/>
        <w:jc w:val="left"/>
      </w:pPr>
      <w:r>
        <w:rPr>
          <w:rFonts w:ascii="Times New Roman" w:hAnsi="Times New Roman"/>
          <w:b/>
          <w:sz w:val="22"/>
        </w:rPr>
        <w:t>Insolvenzverfahren: Feinwerk Präzisionswerkzeuge GmbH, AG Stuttgart, 4 IN 312/26</w:t>
      </w:r>
    </w:p>
    <w:p>
      <w:pPr>
        <w:spacing w:before="120" w:after="60" w:line="259" w:lineRule="auto"/>
        <w:jc w:val="left"/>
      </w:pPr>
      <w:r>
        <w:rPr>
          <w:rFonts w:ascii="Times New Roman" w:hAnsi="Times New Roman"/>
          <w:b/>
          <w:sz w:val="22"/>
        </w:rPr>
        <w:t>Stuttgart, den 8. Juni 2026</w:t>
      </w:r>
    </w:p>
    <w:p>
      <w:pPr>
        <w:spacing w:line="259" w:lineRule="auto" w:after="60"/>
        <w:jc w:val="left"/>
      </w:pPr>
      <w:r>
        <w:rPr>
          <w:b/>
        </w:rPr>
        <w:t>Einschreiben mit Rückschein, vorab per beA</w:t>
      </w:r>
    </w:p>
    <w:p>
      <w:pPr>
        <w:spacing w:line="259" w:lineRule="auto" w:after="60"/>
        <w:jc w:val="left"/>
      </w:pPr>
      <w:r>
        <w:t>**Süddeutsche Kreditbank AG</w:t>
      </w:r>
    </w:p>
    <w:p>
      <w:pPr>
        <w:spacing w:line="259" w:lineRule="auto" w:after="60"/>
        <w:jc w:val="left"/>
      </w:pPr>
      <w:r>
        <w:t>Bereich Firmenkunden – Sanierung und Abwicklung</w:t>
      </w:r>
    </w:p>
    <w:p>
      <w:pPr>
        <w:spacing w:line="259" w:lineRule="auto" w:after="60"/>
        <w:jc w:val="left"/>
      </w:pPr>
      <w:r>
        <w:t>Friedrichstraße 14</w:t>
      </w:r>
    </w:p>
    <w:p>
      <w:pPr>
        <w:spacing w:line="259" w:lineRule="auto" w:after="60"/>
        <w:jc w:val="left"/>
      </w:pPr>
      <w:r>
        <w:t>70174 Stuttgart**</w:t>
      </w:r>
    </w:p>
    <w:p>
      <w:pPr>
        <w:spacing w:line="259" w:lineRule="auto" w:after="60"/>
        <w:jc w:val="left"/>
      </w:pPr>
      <w:r>
        <w:rPr>
          <w:b/>
        </w:rPr>
        <w:t>Betreff: Insolvenzverfahren über das Vermögen der Feinwerk Präzisionswerkzeuge GmbH – Anfechtung der Grundschuldbestellung und der Bürgschaftsübernahme vom 15. Mai 2023 (§§ 129, 134, 143 InsO); Aufforderung zur Rückgewähr</w:t>
      </w:r>
    </w:p>
    <w:p>
      <w:pPr>
        <w:spacing w:line="259" w:lineRule="auto" w:after="60"/>
        <w:jc w:val="left"/>
      </w:pPr>
      <w:r>
        <w:t>Sehr geehrte Damen und Herren,</w:t>
      </w:r>
    </w:p>
    <w:p>
      <w:pPr>
        <w:spacing w:line="259" w:lineRule="auto" w:after="60"/>
        <w:jc w:val="left"/>
      </w:pPr>
      <w:r>
        <w:t xml:space="preserve">mit Beschluss des Amtsgerichts Stuttgart vom 1. Mai 2026 (4 IN 312/26) bin ich zur Insolvenzverwalterin über das Vermögen der Feinwerk Präzisionswerkzeuge GmbH bestellt worden. In dieser Eigenschaft erkläre ich die </w:t>
      </w:r>
      <w:r>
        <w:rPr>
          <w:b/>
        </w:rPr>
        <w:t>Anfechtung</w:t>
      </w:r>
      <w:r>
        <w:t xml:space="preserve"> der Bestellung der Grundschuld über 1.200.000 EUR (Grundbuch von Feuerbach Blatt 8214, Abteilung III lfd. Nr. 1, Urkunde des Notars Dr. Aldinger vom 15. Mai 2023, UR-Nr. A 1043/2023) sowie der Übernahme der Höchstbetragsbürgschaft über 800.000 EUR vom 15. Mai 2023, jeweils nebst der zugehörigen Sicherungsabrede.</w:t>
      </w:r>
    </w:p>
    <w:p>
      <w:pPr>
        <w:pStyle w:val="Heading2"/>
        <w:spacing w:line="259" w:lineRule="auto" w:after="60"/>
      </w:pPr>
      <w:r>
        <w:rPr>
          <w:rFonts w:ascii="Times New Roman" w:hAnsi="Times New Roman"/>
        </w:rPr>
        <w:t>1 Sachverhalt</w:t>
      </w:r>
    </w:p>
    <w:p>
      <w:pPr>
        <w:spacing w:line="259" w:lineRule="auto" w:after="60"/>
        <w:jc w:val="left"/>
      </w:pPr>
      <w:r>
        <w:t>Die Schuldnerin hat die genannten Sicherheiten zur Besicherung des Konsortialkredits bestellt, den Sie und das Bankhaus Löwental KGaA der Karrenberg Industrieholding GmbH — der Alleingesellschafterin der Schuldnerin — mit Vertrag vom 12. Mai 2023 gewährt haben. Die Schuldnerin war nicht Kreditnehmerin. Sie hat aus dem Kredit keine Valuta erhalten. Eine Avalprovision oder sonstige Vergütung für die Sicherheitenbestellung war nach Ziffer 9 des Kreditvertrags, Ziffer 3 der Bürgschaftserklärung und Ziffer 4 der Notarurkunde ausdrücklich nicht vereinbart und ist auch nicht geflossen. Nach Kündigung des Kredits und Insolvenz der Kreditnehmerin haben Sie mit Schreiben vom 20. Januar 2026 die Verwertung des Grundstücks angekündigt, die Zwangsversteigerung beantragt und die Bürgschaft in Anspruch genommen.</w:t>
      </w:r>
    </w:p>
    <w:p>
      <w:pPr>
        <w:pStyle w:val="Heading2"/>
        <w:spacing w:line="259" w:lineRule="auto" w:after="60"/>
      </w:pPr>
      <w:r>
        <w:rPr>
          <w:rFonts w:ascii="Times New Roman" w:hAnsi="Times New Roman"/>
        </w:rPr>
        <w:t>2 Anfechtbarkeit nach § 134 Abs. 1 InsO</w:t>
      </w:r>
    </w:p>
    <w:p>
      <w:pPr>
        <w:pStyle w:val="Heading3"/>
        <w:spacing w:line="259" w:lineRule="auto" w:after="60"/>
      </w:pPr>
      <w:r>
        <w:rPr>
          <w:rFonts w:ascii="Times New Roman" w:hAnsi="Times New Roman"/>
        </w:rPr>
        <w:t>2.1 Unentgeltliche Leistung der Schuldnerin</w:t>
      </w:r>
    </w:p>
    <w:p>
      <w:pPr>
        <w:spacing w:line="259" w:lineRule="auto" w:after="60"/>
        <w:jc w:val="left"/>
      </w:pPr>
      <w:r>
        <w:t>Die Bestellung einer Sicherheit für eine fremde Schuld ist eine Leistung der Schuldnerin an Sie als Sicherungsnehmerin: Sie haben ohne eigene Gegenleistung an die Schuldnerin ein Absonderungsrecht an deren wertvollstem Vermögensgegenstand und einen zusätzlichen Haftungsschuldner erlangt. Maßgeblich für die Entgeltlichkeit ist das Verhältnis zwischen der Schuldnerin und Ihnen. In diesem Verhältnis fehlt jede ausgleichende Zuwendung: Die Kreditgewährung erfolgte an die Muttergesellschaft, nicht an die Schuldnerin; eine Vergütung an die Schuldnerin gab es nicht.</w:t>
      </w:r>
    </w:p>
    <w:p>
      <w:pPr>
        <w:pStyle w:val="Heading3"/>
        <w:spacing w:line="259" w:lineRule="auto" w:after="60"/>
      </w:pPr>
      <w:r>
        <w:rPr>
          <w:rFonts w:ascii="Times New Roman" w:hAnsi="Times New Roman"/>
        </w:rPr>
        <w:t>2.2 Kein werthaltiger Ausgleich über das Innenverhältnis</w:t>
      </w:r>
    </w:p>
    <w:p>
      <w:pPr>
        <w:spacing w:line="259" w:lineRule="auto" w:after="60"/>
        <w:jc w:val="left"/>
      </w:pPr>
      <w:r>
        <w:t xml:space="preserve">Entgeltlichkeit ließe sich allenfalls erwägen, wenn die Schuldnerin für den Fall ihrer Inanspruchnahme einen </w:t>
      </w:r>
      <w:r>
        <w:rPr>
          <w:b/>
        </w:rPr>
        <w:t>werthaltigen</w:t>
      </w:r>
      <w:r>
        <w:t xml:space="preserve"> Rückgriffsanspruch gegen die Kreditnehmerin gehabt hätte. Das war nicht der Fall, und zwar bereits im Zeitpunkt der Bestellung: Nach dem Ihnen vorliegenden Sanierungsgutachten der Treumann &amp; Cie. vom 28. April 2023 war die Kreditnehmerin drohend zahlungsunfähig; das Gutachten bewertete Regressansprüche von Tochtergesellschaften für den Verwertungsfall ausdrücklich als nur eingeschränkt werthaltig mit einer erwarteten Quote im niedrigen einstelligen Prozentbereich (Abschnitt 6). Ihr eigenes Haus ist in dem Votumsmemo der Marktfolge vom 5. Mai 2023 (Kreditakte 44-081-227) zum selben Ergebnis gekommen und hat den Rückgriff der Schuldnerin als "nicht belastbar" eingestuft — die Drittsicherheit wurde gerade deshalb verlangt, weil ein Blankokredit an die Holding nicht mehr vertretbar war. Der Sicherungsfall, für den die Sicherheit wirtschaftlich allein Bedeutung hat, ist zugleich das Szenario, in dem der Rückgriff wertlos ist. Ein wertloser Rückgriff ist kein Entgelt.</w:t>
      </w:r>
    </w:p>
    <w:p>
      <w:pPr>
        <w:pStyle w:val="Heading3"/>
        <w:spacing w:line="259" w:lineRule="auto" w:after="60"/>
      </w:pPr>
      <w:r>
        <w:rPr>
          <w:rFonts w:ascii="Times New Roman" w:hAnsi="Times New Roman"/>
        </w:rPr>
        <w:t>2.3 Mittelbare Konzernvorteile ändern nichts</w:t>
      </w:r>
    </w:p>
    <w:p>
      <w:pPr>
        <w:spacing w:line="259" w:lineRule="auto" w:after="60"/>
        <w:jc w:val="left"/>
      </w:pPr>
      <w:r>
        <w:t>Der zu erwartende Einwand, die Schuldnerin habe vom Fortbestand des Konzerns profitiert (Aufträge der Gruppe, Cash-Pooling, Erhalt der Kundenbeziehungen), greift nicht durch. Solche mittelbaren, rechtlich ungesicherten Hoffnungen sind keine Gegenleistung in das Vermögen der Schuldnerin: Es fehlte jede rechtliche Verknüpfung zwischen der Sicherheitenbestellung und künftigen Aufträgen, deren Fortbestand weder versprochen noch einklagbar war. Der Kreditvertrag selbst behandelt die Auftragsvergabe an die Schuldnerin als bloße Anzeigepflicht (Ziffer 12 Buchstabe d) und verweist Ausgleichsfragen in das Innenverhältnis des Konzerns (Ziffer 9 Satz 3), wo eine Ausgleichsvereinbarung nie geschlossen wurde.</w:t>
      </w:r>
    </w:p>
    <w:p>
      <w:pPr>
        <w:pStyle w:val="Heading3"/>
        <w:spacing w:line="259" w:lineRule="auto" w:after="60"/>
      </w:pPr>
      <w:r>
        <w:rPr>
          <w:rFonts w:ascii="Times New Roman" w:hAnsi="Times New Roman"/>
        </w:rPr>
        <w:t>2.4 Frist und Gläubigerbenachteiligung</w:t>
      </w:r>
    </w:p>
    <w:p>
      <w:pPr>
        <w:spacing w:line="259" w:lineRule="auto" w:after="60"/>
        <w:jc w:val="left"/>
      </w:pPr>
      <w:r>
        <w:t>Die Bestellung vom 15. Mai 2023 liegt innerhalb von vier Jahren vor dem Eröffnungsantrag vom 2. März 2026 (§§ 134 Abs. 1, 139 Abs. 1 InsO). Die Gläubigerbenachteiligung liegt in der Belastung des Betriebsgrundstücks und der Begründung der Bürgschaftshaftung, die die Befriedigungsmöglichkeiten der Gläubigergesamtheit schmälern. Auf eine Kenntnis Ihres Hauses von einer Krise der Schuldnerin oder auf einen Benachteiligungsvorsatz kommt es im Rahmen des § 134 InsO nicht an.</w:t>
      </w:r>
    </w:p>
    <w:p>
      <w:pPr>
        <w:pStyle w:val="Heading2"/>
        <w:spacing w:line="259" w:lineRule="auto" w:after="60"/>
      </w:pPr>
      <w:r>
        <w:rPr>
          <w:rFonts w:ascii="Times New Roman" w:hAnsi="Times New Roman"/>
        </w:rPr>
        <w:t>3 Rückgewähr (§ 143 Abs. 1 InsO)</w:t>
      </w:r>
    </w:p>
    <w:p>
      <w:pPr>
        <w:spacing w:line="259" w:lineRule="auto" w:after="60"/>
        <w:jc w:val="left"/>
      </w:pPr>
      <w:r>
        <w:t xml:space="preserve">Ich fordere Sie auf, bis zum </w:t>
      </w:r>
      <w:r>
        <w:rPr>
          <w:b/>
        </w:rPr>
        <w:t>30. Juni 2026</w:t>
      </w:r>
    </w:p>
    <w:p>
      <w:pPr>
        <w:spacing w:line="259" w:lineRule="auto" w:after="60"/>
        <w:jc w:val="left"/>
      </w:pPr>
      <w:r>
        <w:t>1 die Löschung der Grundschuld Abteilung III lfd. Nr. 1 im Grundbuch von Feuerbach Blatt 8214 zu bewilligen und die vollstreckbare Ausfertigung der Urkunde UR-Nr. A 1043/2023 an mich herauszugeben,</w:t>
      </w:r>
    </w:p>
    <w:p>
      <w:pPr>
        <w:spacing w:line="259" w:lineRule="auto" w:after="60"/>
        <w:jc w:val="left"/>
      </w:pPr>
      <w:r>
        <w:t>2 den Antrag auf Zwangsversteigerung zurückzunehmen und etwaige bereits vereinnahmte Verwertungserlöse an die Masse auszukehren,</w:t>
      </w:r>
    </w:p>
    <w:p>
      <w:pPr>
        <w:spacing w:line="259" w:lineRule="auto" w:after="60"/>
        <w:jc w:val="left"/>
      </w:pPr>
      <w:r>
        <w:t>3 auf sämtliche Rechte aus der Bürgschaft vom 15. Mai 2023 zu verzichten und die angemeldete Bürgschaftsforderung zurückzunehmen.</w:t>
      </w:r>
    </w:p>
    <w:p>
      <w:pPr>
        <w:spacing w:line="259" w:lineRule="auto" w:after="60"/>
        <w:jc w:val="left"/>
      </w:pPr>
      <w:r>
        <w:t>Sollte ich bis zum Fristablauf keine vollständige Erledigung feststellen können, werde ich Klage vor dem Landgericht Stuttgart erheben. Einer Besprechung des Engagements stehe ich offen gegenüber.</w:t>
      </w:r>
    </w:p>
    <w:p>
      <w:pPr>
        <w:spacing w:line="259" w:lineRule="auto" w:after="60"/>
        <w:jc w:val="left"/>
      </w:pPr>
      <w:r>
        <w:t>Mit freundlichen Grüßen</w:t>
      </w:r>
    </w:p>
    <w:p>
      <w:pPr>
        <w:spacing w:line="259" w:lineRule="auto" w:after="60"/>
        <w:jc w:val="left"/>
      </w:pPr>
      <w:r>
        <w:t>Dr. Sibylle Mangold</w:t>
      </w:r>
    </w:p>
    <w:p>
      <w:pPr>
        <w:spacing w:line="259" w:lineRule="auto" w:after="60"/>
        <w:jc w:val="left"/>
      </w:pPr>
      <w:r>
        <w:t>Rechtsanwältin, als Insolvenzverwalterin über das Vermögen der Feinwerk Präzisionswerkzeuge GmbH</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