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der Bankvertreter (Großkanzlei)</w:t>
      </w:r>
    </w:p>
    <w:p>
      <w:pPr>
        <w:spacing w:before="120" w:after="60" w:line="259" w:lineRule="auto"/>
        <w:jc w:val="left"/>
      </w:pPr>
      <w:r>
        <w:rPr>
          <w:rFonts w:ascii="Times New Roman" w:hAnsi="Times New Roman"/>
          <w:b/>
          <w:sz w:val="22"/>
        </w:rPr>
        <w:t>BERKHOFF LAUTERBACH &amp; PARTNER mbB Rechtsanwälte Steuerberater</w:t>
      </w:r>
    </w:p>
    <w:p>
      <w:pPr>
        <w:spacing w:line="259" w:lineRule="auto" w:after="60"/>
        <w:jc w:val="left"/>
      </w:pPr>
      <w:r>
        <w:t>Bockenheimer Landstraße 92, 60323 Frankfurt am Main · Büros in Frankfurt, Düsseldorf, München, Brüssel</w:t>
      </w:r>
    </w:p>
    <w:p>
      <w:pPr>
        <w:spacing w:before="120" w:after="60" w:line="259" w:lineRule="auto"/>
        <w:jc w:val="left"/>
      </w:pPr>
      <w:r>
        <w:rPr>
          <w:rFonts w:ascii="Times New Roman" w:hAnsi="Times New Roman"/>
          <w:b/>
          <w:sz w:val="22"/>
        </w:rPr>
        <w:t>Telefon 069 71034-0 · frankfurt@berkhoff-lauterbach.com</w:t>
      </w:r>
    </w:p>
    <w:p>
      <w:pPr>
        <w:spacing w:before="120" w:after="60" w:line="259" w:lineRule="auto"/>
        <w:jc w:val="left"/>
      </w:pPr>
      <w:r>
        <w:rPr>
          <w:rFonts w:ascii="Times New Roman" w:hAnsi="Times New Roman"/>
          <w:b/>
          <w:sz w:val="22"/>
        </w:rPr>
        <w:t>Unser Zeichen: 2026-0834/HvB-tk</w:t>
      </w:r>
    </w:p>
    <w:p>
      <w:pPr>
        <w:spacing w:before="120" w:after="60" w:line="259" w:lineRule="auto"/>
        <w:jc w:val="left"/>
      </w:pPr>
      <w:r>
        <w:rPr>
          <w:rFonts w:ascii="Times New Roman" w:hAnsi="Times New Roman"/>
          <w:b/>
          <w:sz w:val="22"/>
        </w:rPr>
        <w:t>Ihr Zeichen: 118/26 SM</w:t>
      </w:r>
    </w:p>
    <w:p>
      <w:pPr>
        <w:spacing w:before="120" w:after="60" w:line="259" w:lineRule="auto"/>
        <w:jc w:val="left"/>
      </w:pPr>
      <w:r>
        <w:rPr>
          <w:rFonts w:ascii="Times New Roman" w:hAnsi="Times New Roman"/>
          <w:b/>
          <w:sz w:val="22"/>
        </w:rPr>
        <w:t>Frankfurt am Main, den 22. Juni 2026</w:t>
      </w:r>
    </w:p>
    <w:p>
      <w:pPr>
        <w:spacing w:before="120" w:after="60" w:line="259" w:lineRule="auto"/>
        <w:jc w:val="left"/>
      </w:pPr>
      <w:r>
        <w:rPr>
          <w:rFonts w:ascii="Times New Roman" w:hAnsi="Times New Roman"/>
          <w:b/>
          <w:sz w:val="22"/>
        </w:rPr>
        <w:t>Vorab per beA</w:t>
      </w:r>
    </w:p>
    <w:p>
      <w:pPr>
        <w:spacing w:line="259" w:lineRule="auto" w:after="60"/>
        <w:jc w:val="left"/>
      </w:pPr>
      <w:r>
        <w:t>**Frau Rechtsanwältin</w:t>
      </w:r>
    </w:p>
    <w:p>
      <w:pPr>
        <w:spacing w:line="259" w:lineRule="auto" w:after="60"/>
        <w:jc w:val="left"/>
      </w:pPr>
      <w:r>
        <w:t>Dr. Sibylle Mangold</w:t>
      </w:r>
    </w:p>
    <w:p>
      <w:pPr>
        <w:spacing w:line="259" w:lineRule="auto" w:after="60"/>
        <w:jc w:val="left"/>
      </w:pPr>
      <w:r>
        <w:t>– als Insolvenzverwalterin der Feinwerk Präzisionswerkzeuge GmbH –</w:t>
      </w:r>
    </w:p>
    <w:p>
      <w:pPr>
        <w:spacing w:line="259" w:lineRule="auto" w:after="60"/>
        <w:jc w:val="left"/>
      </w:pPr>
      <w:r>
        <w:t>Königstraße 82</w:t>
      </w:r>
    </w:p>
    <w:p>
      <w:pPr>
        <w:spacing w:line="259" w:lineRule="auto" w:after="60"/>
        <w:jc w:val="left"/>
      </w:pPr>
      <w:r>
        <w:t>70173 Stuttgart**</w:t>
      </w:r>
    </w:p>
    <w:p>
      <w:pPr>
        <w:spacing w:line="259" w:lineRule="auto" w:after="60"/>
        <w:jc w:val="left"/>
      </w:pPr>
      <w:r>
        <w:rPr>
          <w:b/>
        </w:rPr>
        <w:t>Betreff: Insolvenzverfahren Feinwerk Präzisionswerkzeuge GmbH (AG Stuttgart, 4 IN 312/26) – Ihre Anfechtungserklärung vom 8. Juni 2026; Zurückweisung</w:t>
      </w:r>
    </w:p>
    <w:p>
      <w:pPr>
        <w:spacing w:line="259" w:lineRule="auto" w:after="60"/>
        <w:jc w:val="left"/>
      </w:pPr>
      <w:r>
        <w:t>Sehr geehrte Frau Kollegin Dr. Mangold,</w:t>
      </w:r>
    </w:p>
    <w:p>
      <w:pPr>
        <w:spacing w:line="259" w:lineRule="auto" w:after="60"/>
        <w:jc w:val="left"/>
      </w:pPr>
      <w:r>
        <w:t>wir zeigen die Vertretung der Süddeutschen Kreditbank AG an; ordnungsgemäße Bevollmächtigung wird versichert. Die mit Ihrem Schreiben vom 8. Juni 2026 erklärte Anfechtung weisen wir namens unserer Mandantin vollumfänglich zurück. Unsere Mandantin wird weder die Löschung der Grundschuld bewilligen noch auf die Bürgschaft verzichten. Im Einzelnen:</w:t>
      </w:r>
    </w:p>
    <w:p>
      <w:pPr>
        <w:pStyle w:val="Heading2"/>
        <w:spacing w:line="259" w:lineRule="auto" w:after="60"/>
      </w:pPr>
      <w:r>
        <w:rPr>
          <w:rFonts w:ascii="Times New Roman" w:hAnsi="Times New Roman"/>
        </w:rPr>
        <w:t>1 Keine unentgeltliche Leistung</w:t>
      </w:r>
    </w:p>
    <w:p>
      <w:pPr>
        <w:pStyle w:val="Heading3"/>
        <w:spacing w:line="259" w:lineRule="auto" w:after="60"/>
      </w:pPr>
      <w:r>
        <w:rPr>
          <w:rFonts w:ascii="Times New Roman" w:hAnsi="Times New Roman"/>
        </w:rPr>
        <w:t>1.1 Die Sicherheitenbestellung war Teil eines entgeltlichen Gesamtpakets</w:t>
      </w:r>
    </w:p>
    <w:p>
      <w:pPr>
        <w:spacing w:line="259" w:lineRule="auto" w:after="60"/>
        <w:jc w:val="left"/>
      </w:pPr>
      <w:r>
        <w:t>Die Grundschuld und die Bürgschaft wurden nicht isoliert, sondern als Bestandteil des Konsortialkreditvertrags vom 12. Mai 2023 bestellt. Gegen die Sicherheiten hat unsere Mandantin der Karrenberg-Gruppe frisches Geld in Höhe von 6,0 Mio. EUR zur Verfügung gestellt und Bestandslinien über 12,0 Mio. EUR bis Mitte 2026 prolongiert. Das ist die Gegenleistung. Dass sie an die Konzernspitze und nicht unmittelbar an die Schuldnerin floss, ist eine Frage der konzerninternen Mittelverwendung, nicht der Entgeltlichkeit im Verhältnis zu unserer Mandantin, die werthaltige Kreditmittel unstreitig ausgereicht hat.</w:t>
      </w:r>
    </w:p>
    <w:p>
      <w:pPr>
        <w:pStyle w:val="Heading3"/>
        <w:spacing w:line="259" w:lineRule="auto" w:after="60"/>
      </w:pPr>
      <w:r>
        <w:rPr>
          <w:rFonts w:ascii="Times New Roman" w:hAnsi="Times New Roman"/>
        </w:rPr>
        <w:t>1.2 Erhebliche mittelbare Vorteile der Schuldnerin</w:t>
      </w:r>
    </w:p>
    <w:p>
      <w:pPr>
        <w:spacing w:line="259" w:lineRule="auto" w:after="60"/>
        <w:jc w:val="left"/>
      </w:pPr>
      <w:r>
        <w:t>Die Schuldnerin hat von dem Kredit unmittelbar profitiert. Sie erzielte rund 60 Prozent ihrer Umsätze mit Konzernaufträgen und nahm am Cash-Pooling der Holding teil; ohne die Tranche B wäre die Gruppe nach dem Sanierungsgutachten bereits im August 2023 zusammengebrochen — und mit ihr die Schuldnerin, deren Insolvenz dann nicht erst 2026, sondern drei Jahre früher eingetreten wäre. Der Fortbestand des mit Abstand wichtigsten Auftraggebers, die Fortführung des Cash-Poolings und die dadurch gewonnenen knapp drei weiteren Geschäftsjahre sind wirtschaftlich messbare Vorteile. Nach der maßgeblichen wirtschaftlichen Betrachtungsweise schließen solche Vorteile die Unentgeltlichkeit aus; jedenfalls fehlt es an der von § 134 InsO vorausgesetzten Freigiebigkeit.</w:t>
      </w:r>
    </w:p>
    <w:p>
      <w:pPr>
        <w:pStyle w:val="Heading3"/>
        <w:spacing w:line="259" w:lineRule="auto" w:after="60"/>
      </w:pPr>
      <w:r>
        <w:rPr>
          <w:rFonts w:ascii="Times New Roman" w:hAnsi="Times New Roman"/>
        </w:rPr>
        <w:t>1.3 Werthaltiger Rückgriffsanspruch bei Bestellung</w:t>
      </w:r>
    </w:p>
    <w:p>
      <w:pPr>
        <w:spacing w:line="259" w:lineRule="auto" w:after="60"/>
        <w:jc w:val="left"/>
      </w:pPr>
      <w:r>
        <w:t xml:space="preserve">Im Mai 2023 verfügte die Holding über ein Eigenkapital von 13,7 Mio. EUR und über Beteiligungen mit erheblichen stillen Reserven. Das Sanierungsgutachten, auf das Sie sich stützen, attestierte gerade die </w:t>
      </w:r>
      <w:r>
        <w:rPr>
          <w:b/>
        </w:rPr>
        <w:t>positive Fortführungsprognose</w:t>
      </w:r>
      <w:r>
        <w:t xml:space="preserve"> bei Umsetzung des Maßnahmenprogramms; auf dieser Grundlage — testierte Sanierungsfähigkeit — durften alle Beteiligten von der Durchfinanzierung bis Mitte 2026 und damit von der Werthaltigkeit des Rückgriffsanspruchs der Schuldnerin ausgehen. Ihre Betrachtung, die allein auf das Ausfallszenario abstellt, ist eine unzulässige Rückschau aus dem Jahr 2026. Das interne Memo vom 5. Mai 2023 ist eine risikokonservative Bewertungskonvention der Marktfolge für Sicherheitenzwecke und keine Aussage über die zivilrechtliche Werthaltigkeit; im Übrigen bestreiten wir die Verwertbarkeit dieses nur für den Dienstgebrauch bestimmten Dokuments.</w:t>
      </w:r>
    </w:p>
    <w:p>
      <w:pPr>
        <w:pStyle w:val="Heading2"/>
        <w:spacing w:line="259" w:lineRule="auto" w:after="60"/>
      </w:pPr>
      <w:r>
        <w:rPr>
          <w:rFonts w:ascii="Times New Roman" w:hAnsi="Times New Roman"/>
        </w:rPr>
        <w:t>2 Hilfsweise: Vertrauensschutz und Konzernfinanzierungspraxis</w:t>
      </w:r>
    </w:p>
    <w:p>
      <w:pPr>
        <w:spacing w:line="259" w:lineRule="auto" w:after="60"/>
        <w:jc w:val="left"/>
      </w:pPr>
      <w:r>
        <w:t xml:space="preserve">Aufsteigende Sicherheiten sind seit Jahrzehnten übliche und legitime Praxis der Konzernfinanzierung. Unsere Mandantin hat auf ein von einer renommierten Wirtschaftsprüfungsgesellschaft testiertes Sanierungskonzept vertraut und war über die Verhältnisse der Schuldnerin nicht besser informiert als deren eigene Organe. Eine Anfechtung, die der finanzierenden Bank das vereinbarte Sicherheitenpaket nachträglich entzieht, würde die Sanierungsfinanzierung insgesamt entwerten. Vorsorglich weisen wir darauf hin, dass unserer Mandantin im Zeitpunkt der Bestellung keinerlei Umstände bekannt waren, die auf eine Krise der </w:t>
      </w:r>
      <w:r>
        <w:rPr>
          <w:b/>
        </w:rPr>
        <w:t>Schuldnerin</w:t>
      </w:r>
      <w:r>
        <w:t xml:space="preserve"> hindeuteten; deren Bonität war 2023 unauffällig.</w:t>
      </w:r>
    </w:p>
    <w:p>
      <w:pPr>
        <w:pStyle w:val="Heading2"/>
        <w:spacing w:line="259" w:lineRule="auto" w:after="60"/>
      </w:pPr>
      <w:r>
        <w:rPr>
          <w:rFonts w:ascii="Times New Roman" w:hAnsi="Times New Roman"/>
        </w:rPr>
        <w:t>3 Ergebnis</w:t>
      </w:r>
    </w:p>
    <w:p>
      <w:pPr>
        <w:spacing w:line="259" w:lineRule="auto" w:after="60"/>
        <w:jc w:val="left"/>
      </w:pPr>
      <w:r>
        <w:t>Die Anfechtung ist unbegründet. Unsere Mandantin wird die Zwangsversteigerung weiter betreiben, ist jedoch weiterhin bereit, über eine einvernehmliche freihändige Verwertung mit vollständiger Erlösverrechnung auf die Grundschuld zu sprechen. Etwaigen Klageerhebungen sehen wir mit Gelassenheit entgegen.</w:t>
      </w:r>
    </w:p>
    <w:p>
      <w:pPr>
        <w:spacing w:line="259" w:lineRule="auto" w:after="60"/>
        <w:jc w:val="left"/>
      </w:pPr>
      <w:r>
        <w:t>Mit freundlichen kollegialen Grüßen</w:t>
      </w:r>
    </w:p>
    <w:p>
      <w:pPr>
        <w:spacing w:line="259" w:lineRule="auto" w:after="60"/>
        <w:jc w:val="left"/>
      </w:pPr>
      <w:r>
        <w:t>Dr. Hanno von Berkhoff</w:t>
      </w:r>
    </w:p>
    <w:p>
      <w:pPr>
        <w:spacing w:line="259" w:lineRule="auto" w:after="60"/>
        <w:jc w:val="left"/>
      </w:pPr>
      <w:r>
        <w:t>Rechtsanwalt</w:t>
      </w:r>
    </w:p>
    <w:p>
      <w:pPr>
        <w:spacing w:line="259" w:lineRule="auto" w:after="60"/>
        <w:jc w:val="left"/>
      </w:pPr>
      <w:r>
        <w:t>Tessa Kilgus, LL.M. (NYU)</w:t>
      </w:r>
    </w:p>
    <w:p>
      <w:pPr>
        <w:spacing w:line="259" w:lineRule="auto" w:after="60"/>
        <w:jc w:val="left"/>
      </w:pPr>
      <w:r>
        <w:t>Rechtsanwältin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