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Eingangsstapel – Forderungsanmeldungen Phoenix Solar Montage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35 IN 417/26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Insolvenzverwalter:</w:t>
      </w:r>
      <w:r>
        <w:rPr>
          <w:rFonts w:ascii="Times New Roman" w:hAnsi="Times New Roman"/>
          <w:b/>
          <w:sz w:val="22"/>
        </w:rPr>
        <w:t xml:space="preserve"> RA Dr. Konrad Muster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Kanzlei Muster &amp; Partner – Sachbearbeiterin Doris Felgner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Vermerk-Nr.:</w:t>
      </w:r>
      <w:r>
        <w:rPr>
          <w:rFonts w:ascii="Times New Roman" w:hAnsi="Times New Roman"/>
          <w:b/>
          <w:sz w:val="22"/>
        </w:rPr>
        <w:t xml:space="preserve"> 2026-IFAP-003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Stand:</w:t>
      </w:r>
      <w:r>
        <w:rPr>
          <w:rFonts w:ascii="Times New Roman" w:hAnsi="Times New Roman"/>
          <w:b/>
          <w:sz w:val="22"/>
        </w:rPr>
        <w:t xml:space="preserve"> 6. Juni 2026 (nach Ablauf Anmeldefrist 4. Juni 2026)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Überblick</w:t>
      </w:r>
    </w:p>
    <w:p>
      <w:pPr>
        <w:spacing w:line="259" w:lineRule="auto" w:after="60"/>
        <w:jc w:val="left"/>
      </w:pPr>
      <w:r>
        <w:t xml:space="preserve">Nach Ablauf der durch Beschluss des Amtsgerichts Potsdam vom 30. April 2026 (Az. 35 IN 417/26) gesetzten Anmeldefrist (4. Juni 2026) wurden beim Insolvenzverwalter insgesamt </w:t>
      </w:r>
      <w:r>
        <w:rPr>
          <w:b/>
        </w:rPr>
        <w:t>31 Eingaben</w:t>
      </w:r>
      <w:r>
        <w:t xml:space="preserve"> erfasst. Davon sind 28 als reguläre Forderungsanmeldungen einzustufen; 2 Eingaben erwiesen sich als Anfragen ohne Anmeldungscharakter (lfd. Nr. 29, 30) und 1 Eingang (lfd. Nr. 31) ist verspätet. Sämtliche Eingänge wurden datiert und im Eingangsregister IFAP-EG-417/26 erfasst.</w:t>
      </w:r>
    </w:p>
    <w:p>
      <w:pPr>
        <w:spacing w:line="259" w:lineRule="auto" w:after="60"/>
        <w:jc w:val="left"/>
      </w:pPr>
      <w:r>
        <w:t xml:space="preserve">Die Gesamtsumme aller angemeldeten Forderungen beläuft sich nach erster Sichtung auf </w:t>
      </w:r>
      <w:r>
        <w:rPr>
          <w:b/>
        </w:rPr>
        <w:t>ca. 512.830,00 EUR</w:t>
      </w:r>
      <w:r>
        <w:t xml:space="preserve"> (ohne Zinsen und Kosten, die separat geltend gemacht werden). Davon entfallen auf Forderungen mit Sicherheit (§ 50/51 InsO, abgesonderte Befriedigung): ca. 150.000,00 EUR (Havelbank AG); auf Nachrangforderungen (§ 39 InsO): ca. 85.000,00 EUR (Gründerkreis Phoenix GbR); auf einfache Insolvenzforderungen (§ 38 InsO): der verbleibende Rest.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Eingangsliste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Kanal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Vertreter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Angemeldeter Betrag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(Erstanmeldung)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Beispiel, Hamburg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28.450,20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fünf Rechnungen + Lieferscheine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(Ergänzung Zinsen)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Zinsen lfd. Nr. 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Havelbank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Sandra Kühn,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150.000,00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Darlehen, Sicherheitenliste, kein Verwertungsausfall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 (Einschreiben)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 + LSt, besonderer Rechtsgrund Steuerstraftat, kein Nachweis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21.440,72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SV-Beiträge, Zeitraum teilw. nach Eröffnung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Lena Vogt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Schmerzensgeld + vbuH-Ankreuzung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Gründerkreis Phoenix GbR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Thomas Limmer,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85.000,00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Gesellschafterdarlehen, Nachrang bestritten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Solarteile Nord GmbH (Zweitupload)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Henning Beispiel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28.450,20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identische Rechnungen, anderer Dateiname → Dublettenverdacht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Gewerbepark Babelsberg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Nicole Berger, Potsdam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Miete April–Juni 2026, Schaden Hallentor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Elektro Schaffner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Reparatur Solaranlage Dach Feb.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Peter Dressler, Berlin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Kabelmaterial + Installationszubehör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Portalexport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Transporte Haase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3.290,00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Speditionsleistungen Jan.–März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Hans Köhler (ehem. Monteur)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März/April 2026 (ohne vbuH)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Carmen Dietrich (ehem. Buchhaltung)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März/April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Klaus-Peter Müller (ehem. Vertrieb)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4.600,00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Provision März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Alexandra Wolff (ehem. Projektleiterin)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Beate Sonntag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+ ausstehende Überstunden + vbuH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Finanzamt Cottbus (Steuererstattung Dritter)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USt-Voranmeldung Jan. 2026, unsicherer Rechtsgrund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Dachdecker Meier &amp; Söhne GbR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Reparaturleistungen Betriebsgelände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GreenTech Leasing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Moritz Faber, München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22.500,00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Leasingrückstände Hebebühnen 2024–2026, Restbuchwert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BKK Handwerk Mitte (Ergänzung)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Klärungsschreiben zur Zeitraumabgrenzung, kein neuer Betrag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Stadtwerke Potsdam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2.140,00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Strom + Gas Betriebsgelände Jan.–April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Reinigungsservice Quick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890,00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Reinigungsleistungen Q1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Rainer Palm, Berlin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8.120,00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SV-Beiträge für 3 Arbeitnehmer Feb.–April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Druckerei Licht &amp; Wort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1.460,00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Werbematerial, Prospekte Feb. 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Rechtsanwalt Dr. Schulze (Kostengläubiger Vorverfahren)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3.200,00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anwaltliche Kosten Eigenantragsberatung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Franz Lindner, Frankfurt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Rückzahlung Anzahlung Grundstückskauf, strittig ob InsO-Forderung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03.06.2026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Photovoltaik-Technik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Susanne Kowalski, Dresden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12.600,00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Lizenzgebühren Montagetechnik 2025–2026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Telefax (23:55 Uhr)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Werkzeugbau Kern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4.700,00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Werkzeugmiete und Verkauf Spezialwerkzeug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Anwaltsbüro Seeger &amp; Voss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Anfrage nach aktuellem Verfahrensstand, keine Anmeldung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Briefpost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Jobcenter Potsdam-Mittelmark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Anfrage Insolvenzgeldbescheinigung (kein Gläubiger)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Sonnenkollektoren Direkt eK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7.800,00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VERSPÄTET</w:t>
            </w:r>
            <w:r>
              <w:rPr>
                <w:rFonts w:ascii="Times New Roman" w:hAnsi="Times New Roman"/>
                <w:sz w:val="20"/>
              </w:rPr>
              <w:t xml:space="preserve"> – nach 4. Juni 2026 eingegangen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Prüfungsbefunde nach erster Sichtung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Formale Mängel</w:t>
      </w:r>
    </w:p>
    <w:p>
      <w:pPr>
        <w:spacing w:line="259" w:lineRule="auto" w:after="60"/>
        <w:jc w:val="left"/>
      </w:pPr>
      <w:r>
        <w:t>Folgende Anmeldungen weisen formale Mängel auf, die ein Nachforderungsschreiben erfordern:</w:t>
      </w:r>
    </w:p>
    <w:p>
      <w:pPr>
        <w:pStyle w:val="ListBullet"/>
        <w:spacing w:line="259" w:lineRule="auto" w:after="60"/>
      </w:pPr>
      <w:r>
        <w:rPr>
          <w:b/>
        </w:rPr>
        <w:t>lfd. Nr. 3 (Havelbank AG):</w:t>
      </w:r>
      <w:r>
        <w:t xml:space="preserve"> Keine Bezifferung des Verwertungsausfalls aus der Sicherungsübereignung; fehlende Bewertung der Sicherungsgüter. Zur Aufnahme in die Tabelle mit dem korrekten Nominalbetrag ist die Höhe des ausfallenden Teils zwingend erforderlich.</w:t>
      </w:r>
    </w:p>
    <w:p>
      <w:pPr>
        <w:pStyle w:val="ListBullet"/>
        <w:spacing w:line="259" w:lineRule="auto" w:after="60"/>
      </w:pPr>
      <w:r>
        <w:rPr>
          <w:b/>
        </w:rPr>
        <w:t>lfd. Nr. 4 (Finanzamt Potsdam):</w:t>
      </w:r>
      <w:r>
        <w:t xml:space="preserve"> Besonderer Rechtsgrund "Steuerstraftat" (§ 302 Nr. 1 InsO) lediglich durch Ankreuzung geltend gemacht; kein rechtskräftiges Urteil, kein Strafbefehl, keine Anklageschrift beigefügt. Ohne Nachweis keine Feststellung mit besonderem Rechtsgrund.</w:t>
      </w:r>
    </w:p>
    <w:p>
      <w:pPr>
        <w:pStyle w:val="ListBullet"/>
        <w:spacing w:line="259" w:lineRule="auto" w:after="60"/>
      </w:pPr>
      <w:r>
        <w:rPr>
          <w:b/>
        </w:rPr>
        <w:t>lfd. Nr. 5 (BKK Handwerk Mitte):</w:t>
      </w:r>
      <w:r>
        <w:t xml:space="preserve"> Der angemeldete Zeitraum "Februar bis April 2026" schließt Tage nach dem Eröffnungsdatum (30.04.2026, 08:00 Uhr) ein. April-Beiträge nach Eröffnung sind Masseforderungen (§ 55 InsO), nicht Insolvenzforderungen. Rücknahme / Korrektur der Anmeldung ist anzuregen.</w:t>
      </w:r>
    </w:p>
    <w:p>
      <w:pPr>
        <w:pStyle w:val="ListBullet"/>
        <w:spacing w:line="259" w:lineRule="auto" w:after="60"/>
      </w:pPr>
      <w:r>
        <w:rPr>
          <w:b/>
        </w:rPr>
        <w:t>lfd. Nr. 6 (Lena Vogt):</w:t>
      </w:r>
      <w:r>
        <w:t xml:space="preserve"> Schmerzensgeld 3.000,00 EUR und vbuH ohne Tatsachendarstellung; kein Bezug zu einer deliktischen Handlung des Schuldners. Lohnforderung dem Grunde nach plausibel, aber Zeitraum April teilw. durch Insolvenzgeld abgedeckt (Prüfung § 183 SGB III erforderlich).</w:t>
      </w:r>
    </w:p>
    <w:p>
      <w:pPr>
        <w:pStyle w:val="ListBullet"/>
        <w:spacing w:line="259" w:lineRule="auto" w:after="60"/>
      </w:pPr>
      <w:r>
        <w:rPr>
          <w:b/>
        </w:rPr>
        <w:t>lfd. Nr. 9 (Gewerbepark Babelsberg GmbH):</w:t>
      </w:r>
      <w:r>
        <w:t xml:space="preserve"> Monate Mai und Juni 2026 (nach Eröffnung) sind als Masseforderung anzumelden, nicht als Insolvenzforderung; Schadensersatzforderung wegen Hallentor ohne Kostennachweis, Schadensfoto oder Gutachten.</w:t>
      </w:r>
    </w:p>
    <w:p>
      <w:pPr>
        <w:pStyle w:val="ListBullet"/>
        <w:spacing w:line="259" w:lineRule="auto" w:after="60"/>
      </w:pPr>
      <w:r>
        <w:rPr>
          <w:b/>
        </w:rPr>
        <w:t>lfd. Nr. 16 (Alexandra Wolff):</w:t>
      </w:r>
      <w:r>
        <w:t xml:space="preserve"> Vbuħ-Begründung fehlt trotz Markierung; Überstundenberechnung nicht belegt.</w:t>
      </w:r>
    </w:p>
    <w:p>
      <w:pPr>
        <w:pStyle w:val="ListBullet"/>
        <w:spacing w:line="259" w:lineRule="auto" w:after="60"/>
      </w:pPr>
      <w:r>
        <w:rPr>
          <w:b/>
        </w:rPr>
        <w:t>lfd. Nr. 26 (Immobilien Bau AG):</w:t>
      </w:r>
      <w:r>
        <w:t xml:space="preserve"> Rechtsgrundlage streitig; ob Anzahlung auf nichterfüllten Vertrag als Insolvenzforderung oder ggf. als Aussonderungsrecht qualifiziert, ist rechtlich zu klären.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Dublettenverdacht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lfd. Nr. (Erst)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lfd. Nr. (Zweit)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28.450,20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Identische Rechnungen, unterschiedlicher Dateiname; Rechnung SN-2026-016 zudem im OPOS als bezahlt vermerkt. Vollständige Dublette anzunehmen.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3.3 Verspätete Anmeldung</w:t>
      </w:r>
    </w:p>
    <w:p>
      <w:pPr>
        <w:spacing w:line="259" w:lineRule="auto" w:after="60"/>
        <w:jc w:val="left"/>
      </w:pPr>
      <w:r>
        <w:rPr>
          <w:b/>
        </w:rPr>
        <w:t>lfd. Nr. 31 (Sonnenkollektoren Direkt eK):</w:t>
      </w:r>
      <w:r>
        <w:t xml:space="preserve"> Eingang 10. Juni 2026, also 6 Tage nach Ablauf der Anmeldefrist. Gemäß § 177 InsO ist ein gesonderter Prüftermin auf Kosten des Gläubigers zu beantragen; die Forderung wird im Prüfungstermin am 25. Juni 2026 nicht berücksichtigt.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3.4 Nachrangforderungen</w:t>
      </w:r>
    </w:p>
    <w:p>
      <w:pPr>
        <w:pStyle w:val="ListBullet"/>
        <w:spacing w:line="259" w:lineRule="auto" w:after="60"/>
      </w:pPr>
      <w:r>
        <w:rPr>
          <w:b/>
        </w:rPr>
        <w:t>lfd. Nr. 7 (Gründerkreis Phoenix GbR):</w:t>
      </w:r>
      <w:r>
        <w:t xml:space="preserve"> Gesellschafterdarlehen; gemäß § 39 Abs. 1 Nr. 5 InsO im Nachrang, sofern kein Sanierungsprivileg (§ 39 Abs. 4 InsO) eingreift. Gläubiger bestreitet Nachrang; Prüfung des Darlehensvertrags und der Gesellschafterstellung ist erforderlich.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3.5 Zinsstreit</w:t>
      </w:r>
    </w:p>
    <w:p>
      <w:pPr>
        <w:pStyle w:val="ListBullet"/>
        <w:spacing w:line="259" w:lineRule="auto" w:after="60"/>
      </w:pPr>
      <w:r>
        <w:rPr>
          <w:b/>
        </w:rPr>
        <w:t>Havelbank AG:</w:t>
      </w:r>
      <w:r>
        <w:t xml:space="preserve"> Zinsen in Höhe von 3.562,50 EUR angemeldet; Berechnung schließt Tage nach Eröffnung ein. Zinsanspruch endet gemäß § 39 Abs. 1 Nr. 1 InsO (bzw. § 58 Nr. 1 InsO a.F.) mit Eröffnung.</w:t>
      </w:r>
    </w:p>
    <w:p>
      <w:pPr>
        <w:pStyle w:val="ListBullet"/>
        <w:spacing w:line="259" w:lineRule="auto" w:after="60"/>
      </w:pPr>
      <w:r>
        <w:rPr>
          <w:b/>
        </w:rPr>
        <w:t>Solarteile Nord GmbH:</w:t>
      </w:r>
      <w:r>
        <w:t xml:space="preserve"> Separate Zinsanmeldung über 42,00 EUR (lfd. Nr. 2); Zinszeitraum endet ebenfalls nach Eröffnung – zu korrigieren auf Stichtag 30.04.2026.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Nächste Schritte</w:t>
      </w:r>
    </w:p>
    <w:p>
      <w:pPr>
        <w:pStyle w:val="ListNumber"/>
        <w:spacing w:line="259" w:lineRule="auto" w:after="60"/>
      </w:pPr>
      <w:r>
        <w:t>Nachforderungsschreiben an Havelbank AG, Finanzamt Potsdam, BKK Handwerk Mitte, Lena Vogt, Gewerbepark Babelsberg GmbH, Alexandra Wolff (Dokument 13).</w:t>
      </w:r>
    </w:p>
    <w:p>
      <w:pPr>
        <w:pStyle w:val="ListNumber"/>
        <w:spacing w:line="259" w:lineRule="auto" w:after="60"/>
      </w:pPr>
      <w:r>
        <w:t>Informationsschreiben an Sonnenkollektoren Direkt eK wegen Verspätung.</w:t>
      </w:r>
    </w:p>
    <w:p>
      <w:pPr>
        <w:pStyle w:val="ListNumber"/>
        <w:spacing w:line="259" w:lineRule="auto" w:after="60"/>
      </w:pPr>
      <w:r>
        <w:t>Prüfungstabelle anlegen und Vorschlag zur Feststellung bzw. Bestreitung vorbereiten (Dokument 14/15).</w:t>
      </w:r>
    </w:p>
    <w:p>
      <w:pPr>
        <w:pStyle w:val="ListNumber"/>
        <w:spacing w:line="259" w:lineRule="auto" w:after="60"/>
      </w:pPr>
      <w:r>
        <w:t>Klärung Nachrang Gründerkreis Phoenix GbR durch Einsicht Darlehensvertrag.</w:t>
      </w:r>
    </w:p>
    <w:p>
      <w:pPr>
        <w:pStyle w:val="ListNumber"/>
        <w:spacing w:line="259" w:lineRule="auto" w:after="60"/>
      </w:pPr>
      <w:r>
        <w:t>Abstimmung mit Insolvenzgericht wegen gesondertem Prüftermin für verspätete Anmeldung.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Bearbeiter: Doris Felgner, Sachbearbeiterin Insolvenzverwaltung, Kanzlei Muster &amp; Partner, Potsdam</w:t>
      </w:r>
    </w:p>
    <w:p>
      <w:pPr>
        <w:spacing w:line="259" w:lineRule="auto" w:after="60"/>
        <w:jc w:val="left"/>
      </w:pPr>
      <w:r>
        <w:rPr>
          <w:i/>
        </w:rPr>
        <w:t>Datum: 6. Juni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