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Forderungsanmeldung – Finanzamt Potsdam (Steuer + Vorsteuerberichtigung)</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Gläubiger-ID (intern):</w:t>
      </w:r>
      <w:r>
        <w:rPr>
          <w:rFonts w:ascii="Times New Roman" w:hAnsi="Times New Roman"/>
          <w:b/>
          <w:sz w:val="22"/>
        </w:rPr>
        <w:t xml:space="preserve"> G003</w:t>
      </w:r>
    </w:p>
    <w:p>
      <w:pPr>
        <w:spacing w:before="120" w:after="60" w:line="259" w:lineRule="auto"/>
        <w:jc w:val="left"/>
      </w:pPr>
      <w:r>
        <w:rPr>
          <w:rFonts w:ascii="Times New Roman" w:hAnsi="Times New Roman"/>
          <w:b/>
          <w:sz w:val="22"/>
        </w:rPr>
        <w:t>Eingang:</w:t>
      </w:r>
      <w:r>
        <w:rPr>
          <w:rFonts w:ascii="Times New Roman" w:hAnsi="Times New Roman"/>
          <w:b/>
          <w:sz w:val="22"/>
        </w:rPr>
        <w:t xml:space="preserve"> 7. Mai 2026 (Einschreiben)</w:t>
      </w:r>
    </w:p>
    <w:p>
      <w:pPr>
        <w:spacing w:line="259" w:lineRule="auto" w:after="60"/>
        <w:jc w:val="left"/>
      </w:pPr>
      <w:r>
        <w:rPr>
          <w:b/>
        </w:rPr>
        <w:t>Anmeldungstyp:</w:t>
      </w:r>
      <w:r>
        <w:t xml:space="preserve"> Einfache Insolvenzforderung gemäß § 38 InsO; besonderer Rechtsgrund § 302 Nr. 1 InsO (Steuerstraftat, bestritten)</w:t>
      </w:r>
    </w:p>
    <w:p>
      <w:pPr>
        <w:spacing w:line="259" w:lineRule="auto" w:after="60"/>
      </w:pPr>
    </w:p>
    <w:p>
      <w:pPr>
        <w:pStyle w:val="Heading2"/>
        <w:spacing w:before="120" w:after="60" w:line="259" w:lineRule="auto"/>
      </w:pPr>
      <w:r>
        <w:rPr>
          <w:rFonts w:ascii="Times New Roman" w:hAnsi="Times New Roman"/>
          <w:b/>
          <w:sz w:val="22"/>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w:t>
            </w:r>
          </w:p>
        </w:tc>
        <w:tc>
          <w:tcPr>
            <w:tcW w:type="dxa" w:w="4536"/>
          </w:tcPr>
          <w:p>
            <w:r>
              <w:rPr>
                <w:rFonts w:ascii="Times New Roman" w:hAnsi="Times New Roman"/>
                <w:sz w:val="20"/>
              </w:rPr>
              <w:t>Finanzamt Potsdam</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Steinstraße 104, 14480 Potsdam</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 (Behörde handelt im Eigenrecht)</w:t>
            </w:r>
          </w:p>
        </w:tc>
      </w:tr>
      <w:tr>
        <w:tc>
          <w:tcPr>
            <w:tcW w:type="dxa" w:w="4536"/>
          </w:tcPr>
          <w:p>
            <w:r>
              <w:rPr>
                <w:rFonts w:ascii="Times New Roman" w:hAnsi="Times New Roman"/>
                <w:b/>
                <w:sz w:val="20"/>
              </w:rPr>
              <w:t>Sachbearbeitung</w:t>
            </w:r>
          </w:p>
        </w:tc>
        <w:tc>
          <w:tcPr>
            <w:tcW w:type="dxa" w:w="4536"/>
          </w:tcPr>
          <w:p>
            <w:r>
              <w:rPr>
                <w:rFonts w:ascii="Times New Roman" w:hAnsi="Times New Roman"/>
                <w:sz w:val="20"/>
              </w:rPr>
              <w:t>Vollstreckungsstelle, SB Rainer Gröbel</w:t>
            </w:r>
          </w:p>
        </w:tc>
      </w:tr>
      <w:tr>
        <w:tc>
          <w:tcPr>
            <w:tcW w:type="dxa" w:w="4536"/>
          </w:tcPr>
          <w:p>
            <w:r>
              <w:rPr>
                <w:rFonts w:ascii="Times New Roman" w:hAnsi="Times New Roman"/>
                <w:b/>
                <w:sz w:val="20"/>
              </w:rPr>
              <w:t>Steuernummer Schuldnerin</w:t>
            </w:r>
          </w:p>
        </w:tc>
        <w:tc>
          <w:tcPr>
            <w:tcW w:type="dxa" w:w="4536"/>
          </w:tcPr>
          <w:p>
            <w:r>
              <w:rPr>
                <w:rFonts w:ascii="Times New Roman" w:hAnsi="Times New Roman"/>
                <w:sz w:val="20"/>
              </w:rPr>
              <w:t>048/114/55821</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bl>
    <w:p>
      <w:pPr>
        <w:spacing w:line="259" w:lineRule="auto" w:after="60"/>
      </w:pPr>
    </w:p>
    <w:p>
      <w:pPr>
        <w:pStyle w:val="Heading2"/>
        <w:spacing w:line="259" w:lineRule="auto" w:after="60"/>
      </w:pPr>
      <w:r>
        <w:rPr>
          <w:rFonts w:ascii="Times New Roman" w:hAnsi="Times New Roman"/>
        </w:rPr>
        <w:t>I. Angemeldete Forderungen im Überblick</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lfd.</w:t>
            </w:r>
          </w:p>
        </w:tc>
        <w:tc>
          <w:tcPr>
            <w:tcW w:type="dxa" w:w="1296"/>
          </w:tcPr>
          <w:p>
            <w:r>
              <w:rPr>
                <w:rFonts w:ascii="Times New Roman" w:hAnsi="Times New Roman"/>
                <w:b/>
                <w:sz w:val="20"/>
              </w:rPr>
              <w:t>Steuerart</w:t>
            </w:r>
          </w:p>
        </w:tc>
        <w:tc>
          <w:tcPr>
            <w:tcW w:type="dxa" w:w="1296"/>
          </w:tcPr>
          <w:p>
            <w:r>
              <w:rPr>
                <w:rFonts w:ascii="Times New Roman" w:hAnsi="Times New Roman"/>
                <w:b/>
                <w:sz w:val="20"/>
              </w:rPr>
              <w:t>Zeitraum / Fälligkeit</w:t>
            </w:r>
          </w:p>
        </w:tc>
        <w:tc>
          <w:tcPr>
            <w:tcW w:type="dxa" w:w="1296"/>
          </w:tcPr>
          <w:p>
            <w:r>
              <w:rPr>
                <w:rFonts w:ascii="Times New Roman" w:hAnsi="Times New Roman"/>
                <w:b/>
                <w:sz w:val="20"/>
              </w:rPr>
              <w:t>Hauptbetrag (EUR)</w:t>
            </w:r>
          </w:p>
        </w:tc>
        <w:tc>
          <w:tcPr>
            <w:tcW w:type="dxa" w:w="1296"/>
          </w:tcPr>
          <w:p>
            <w:r>
              <w:rPr>
                <w:rFonts w:ascii="Times New Roman" w:hAnsi="Times New Roman"/>
                <w:b/>
                <w:sz w:val="20"/>
              </w:rPr>
              <w:t>Säumniszuschlag (EUR)</w:t>
            </w:r>
          </w:p>
        </w:tc>
        <w:tc>
          <w:tcPr>
            <w:tcW w:type="dxa" w:w="1296"/>
          </w:tcPr>
          <w:p>
            <w:r>
              <w:rPr>
                <w:rFonts w:ascii="Times New Roman" w:hAnsi="Times New Roman"/>
                <w:b/>
                <w:sz w:val="20"/>
              </w:rPr>
              <w:t>Angemeldeter Teilbetrag (EUR)</w:t>
            </w:r>
          </w:p>
        </w:tc>
        <w:tc>
          <w:tcPr>
            <w:tcW w:type="dxa" w:w="1296"/>
          </w:tcPr>
          <w:p>
            <w:r>
              <w:rPr>
                <w:rFonts w:ascii="Times New Roman" w:hAnsi="Times New Roman"/>
                <w:b/>
                <w:sz w:val="20"/>
              </w:rPr>
              <w:t>Besond. Rechtsgrund</w:t>
            </w:r>
          </w:p>
        </w:tc>
      </w:tr>
      <w:tr>
        <w:tc>
          <w:tcPr>
            <w:tcW w:type="dxa" w:w="1296"/>
          </w:tcPr>
          <w:p>
            <w:r>
              <w:rPr>
                <w:rFonts w:ascii="Times New Roman" w:hAnsi="Times New Roman"/>
                <w:sz w:val="20"/>
              </w:rPr>
              <w:t>1</w:t>
            </w:r>
          </w:p>
        </w:tc>
        <w:tc>
          <w:tcPr>
            <w:tcW w:type="dxa" w:w="1296"/>
          </w:tcPr>
          <w:p>
            <w:r>
              <w:rPr>
                <w:rFonts w:ascii="Times New Roman" w:hAnsi="Times New Roman"/>
                <w:sz w:val="20"/>
              </w:rPr>
              <w:t>Umsatzsteuer</w:t>
            </w:r>
          </w:p>
        </w:tc>
        <w:tc>
          <w:tcPr>
            <w:tcW w:type="dxa" w:w="1296"/>
          </w:tcPr>
          <w:p>
            <w:r>
              <w:rPr>
                <w:rFonts w:ascii="Times New Roman" w:hAnsi="Times New Roman"/>
                <w:sz w:val="20"/>
              </w:rPr>
              <w:t>Voranmeldung 02/2026, fällig 10.03.2026</w:t>
            </w:r>
          </w:p>
        </w:tc>
        <w:tc>
          <w:tcPr>
            <w:tcW w:type="dxa" w:w="1296"/>
          </w:tcPr>
          <w:p>
            <w:r>
              <w:rPr>
                <w:rFonts w:ascii="Times New Roman" w:hAnsi="Times New Roman"/>
                <w:sz w:val="20"/>
              </w:rPr>
              <w:t>18.400,00</w:t>
            </w:r>
          </w:p>
        </w:tc>
        <w:tc>
          <w:tcPr>
            <w:tcW w:type="dxa" w:w="1296"/>
          </w:tcPr>
          <w:p>
            <w:r>
              <w:rPr>
                <w:rFonts w:ascii="Times New Roman" w:hAnsi="Times New Roman"/>
                <w:sz w:val="20"/>
              </w:rPr>
              <w:t>920,00</w:t>
            </w:r>
          </w:p>
        </w:tc>
        <w:tc>
          <w:tcPr>
            <w:tcW w:type="dxa" w:w="1296"/>
          </w:tcPr>
          <w:p>
            <w:r>
              <w:rPr>
                <w:rFonts w:ascii="Times New Roman" w:hAnsi="Times New Roman"/>
                <w:sz w:val="20"/>
              </w:rPr>
              <w:t>19.320,00</w:t>
            </w:r>
          </w:p>
        </w:tc>
        <w:tc>
          <w:tcPr>
            <w:tcW w:type="dxa" w:w="1296"/>
          </w:tcPr>
          <w:p>
            <w:r>
              <w:rPr>
                <w:rFonts w:ascii="Times New Roman" w:hAnsi="Times New Roman"/>
                <w:sz w:val="20"/>
              </w:rPr>
              <w:t>Ja (Steuerstraftat)</w:t>
            </w:r>
          </w:p>
        </w:tc>
      </w:tr>
      <w:tr>
        <w:tc>
          <w:tcPr>
            <w:tcW w:type="dxa" w:w="1296"/>
          </w:tcPr>
          <w:p>
            <w:r>
              <w:rPr>
                <w:rFonts w:ascii="Times New Roman" w:hAnsi="Times New Roman"/>
                <w:sz w:val="20"/>
              </w:rPr>
              <w:t>2</w:t>
            </w:r>
          </w:p>
        </w:tc>
        <w:tc>
          <w:tcPr>
            <w:tcW w:type="dxa" w:w="1296"/>
          </w:tcPr>
          <w:p>
            <w:r>
              <w:rPr>
                <w:rFonts w:ascii="Times New Roman" w:hAnsi="Times New Roman"/>
                <w:sz w:val="20"/>
              </w:rPr>
              <w:t>Umsatzsteuer Vorsteuerberichtigung</w:t>
            </w:r>
          </w:p>
        </w:tc>
        <w:tc>
          <w:tcPr>
            <w:tcW w:type="dxa" w:w="1296"/>
          </w:tcPr>
          <w:p>
            <w:r>
              <w:rPr>
                <w:rFonts w:ascii="Times New Roman" w:hAnsi="Times New Roman"/>
                <w:sz w:val="20"/>
              </w:rPr>
              <w:t>§ 17 UStG bei Eröffnung 30.04.2026</w:t>
            </w:r>
          </w:p>
        </w:tc>
        <w:tc>
          <w:tcPr>
            <w:tcW w:type="dxa" w:w="1296"/>
          </w:tcPr>
          <w:p>
            <w:r>
              <w:rPr>
                <w:rFonts w:ascii="Times New Roman" w:hAnsi="Times New Roman"/>
                <w:sz w:val="20"/>
              </w:rPr>
              <w:t>9.800,00</w:t>
            </w:r>
          </w:p>
        </w:tc>
        <w:tc>
          <w:tcPr>
            <w:tcW w:type="dxa" w:w="1296"/>
          </w:tcPr>
          <w:p>
            <w:r>
              <w:rPr>
                <w:rFonts w:ascii="Times New Roman" w:hAnsi="Times New Roman"/>
                <w:sz w:val="20"/>
              </w:rPr>
              <w:t>0,00</w:t>
            </w:r>
          </w:p>
        </w:tc>
        <w:tc>
          <w:tcPr>
            <w:tcW w:type="dxa" w:w="1296"/>
          </w:tcPr>
          <w:p>
            <w:r>
              <w:rPr>
                <w:rFonts w:ascii="Times New Roman" w:hAnsi="Times New Roman"/>
                <w:sz w:val="20"/>
              </w:rPr>
              <w:t>9.800,00</w:t>
            </w:r>
          </w:p>
        </w:tc>
        <w:tc>
          <w:tcPr>
            <w:tcW w:type="dxa" w:w="1296"/>
          </w:tcPr>
          <w:p>
            <w:r>
              <w:rPr>
                <w:rFonts w:ascii="Times New Roman" w:hAnsi="Times New Roman"/>
                <w:sz w:val="20"/>
              </w:rPr>
              <w:t>Nein</w:t>
            </w:r>
          </w:p>
        </w:tc>
      </w:tr>
      <w:tr>
        <w:tc>
          <w:tcPr>
            <w:tcW w:type="dxa" w:w="1296"/>
          </w:tcPr>
          <w:p>
            <w:r>
              <w:rPr>
                <w:rFonts w:ascii="Times New Roman" w:hAnsi="Times New Roman"/>
                <w:sz w:val="20"/>
              </w:rPr>
              <w:t>3</w:t>
            </w:r>
          </w:p>
        </w:tc>
        <w:tc>
          <w:tcPr>
            <w:tcW w:type="dxa" w:w="1296"/>
          </w:tcPr>
          <w:p>
            <w:r>
              <w:rPr>
                <w:rFonts w:ascii="Times New Roman" w:hAnsi="Times New Roman"/>
                <w:sz w:val="20"/>
              </w:rPr>
              <w:t>Lohnsteuer</w:t>
            </w:r>
          </w:p>
        </w:tc>
        <w:tc>
          <w:tcPr>
            <w:tcW w:type="dxa" w:w="1296"/>
          </w:tcPr>
          <w:p>
            <w:r>
              <w:rPr>
                <w:rFonts w:ascii="Times New Roman" w:hAnsi="Times New Roman"/>
                <w:sz w:val="20"/>
              </w:rPr>
              <w:t>Anmeldezeitraum 03/2026, fällig 10.04.2026</w:t>
            </w:r>
          </w:p>
        </w:tc>
        <w:tc>
          <w:tcPr>
            <w:tcW w:type="dxa" w:w="1296"/>
          </w:tcPr>
          <w:p>
            <w:r>
              <w:rPr>
                <w:rFonts w:ascii="Times New Roman" w:hAnsi="Times New Roman"/>
                <w:sz w:val="20"/>
              </w:rPr>
              <w:t>8.200,00</w:t>
            </w:r>
          </w:p>
        </w:tc>
        <w:tc>
          <w:tcPr>
            <w:tcW w:type="dxa" w:w="1296"/>
          </w:tcPr>
          <w:p>
            <w:r>
              <w:rPr>
                <w:rFonts w:ascii="Times New Roman" w:hAnsi="Times New Roman"/>
                <w:sz w:val="20"/>
              </w:rPr>
              <w:t>410,00</w:t>
            </w:r>
          </w:p>
        </w:tc>
        <w:tc>
          <w:tcPr>
            <w:tcW w:type="dxa" w:w="1296"/>
          </w:tcPr>
          <w:p>
            <w:r>
              <w:rPr>
                <w:rFonts w:ascii="Times New Roman" w:hAnsi="Times New Roman"/>
                <w:sz w:val="20"/>
              </w:rPr>
              <w:t>8.610,00</w:t>
            </w:r>
          </w:p>
        </w:tc>
        <w:tc>
          <w:tcPr>
            <w:tcW w:type="dxa" w:w="1296"/>
          </w:tcPr>
          <w:p>
            <w:r>
              <w:rPr>
                <w:rFonts w:ascii="Times New Roman" w:hAnsi="Times New Roman"/>
                <w:sz w:val="20"/>
              </w:rPr>
              <w:t>Ja (Steuerstraftat)</w:t>
            </w:r>
          </w:p>
        </w:tc>
      </w:tr>
      <w:tr>
        <w:tc>
          <w:tcPr>
            <w:tcW w:type="dxa" w:w="1296"/>
          </w:tcPr>
          <w:p>
            <w:r>
              <w:rPr>
                <w:rFonts w:ascii="Times New Roman" w:hAnsi="Times New Roman"/>
                <w:sz w:val="20"/>
              </w:rPr>
              <w:t>4</w:t>
            </w:r>
          </w:p>
        </w:tc>
        <w:tc>
          <w:tcPr>
            <w:tcW w:type="dxa" w:w="1296"/>
          </w:tcPr>
          <w:p>
            <w:r>
              <w:rPr>
                <w:rFonts w:ascii="Times New Roman" w:hAnsi="Times New Roman"/>
                <w:sz w:val="20"/>
              </w:rPr>
              <w:t>Solidaritätszuschlag</w:t>
            </w:r>
          </w:p>
        </w:tc>
        <w:tc>
          <w:tcPr>
            <w:tcW w:type="dxa" w:w="1296"/>
          </w:tcPr>
          <w:p>
            <w:r>
              <w:rPr>
                <w:rFonts w:ascii="Times New Roman" w:hAnsi="Times New Roman"/>
                <w:sz w:val="20"/>
              </w:rPr>
              <w:t>März 2026</w:t>
            </w:r>
          </w:p>
        </w:tc>
        <w:tc>
          <w:tcPr>
            <w:tcW w:type="dxa" w:w="1296"/>
          </w:tcPr>
          <w:p>
            <w:r>
              <w:rPr>
                <w:rFonts w:ascii="Times New Roman" w:hAnsi="Times New Roman"/>
                <w:sz w:val="20"/>
              </w:rPr>
              <w:t>451,00</w:t>
            </w:r>
          </w:p>
        </w:tc>
        <w:tc>
          <w:tcPr>
            <w:tcW w:type="dxa" w:w="1296"/>
          </w:tcPr>
          <w:p>
            <w:r>
              <w:rPr>
                <w:rFonts w:ascii="Times New Roman" w:hAnsi="Times New Roman"/>
                <w:sz w:val="20"/>
              </w:rPr>
              <w:t>0,00</w:t>
            </w:r>
          </w:p>
        </w:tc>
        <w:tc>
          <w:tcPr>
            <w:tcW w:type="dxa" w:w="1296"/>
          </w:tcPr>
          <w:p>
            <w:r>
              <w:rPr>
                <w:rFonts w:ascii="Times New Roman" w:hAnsi="Times New Roman"/>
                <w:sz w:val="20"/>
              </w:rPr>
              <w:t>451,00</w:t>
            </w:r>
          </w:p>
        </w:tc>
        <w:tc>
          <w:tcPr>
            <w:tcW w:type="dxa" w:w="1296"/>
          </w:tcPr>
          <w:p>
            <w:r>
              <w:rPr>
                <w:rFonts w:ascii="Times New Roman" w:hAnsi="Times New Roman"/>
                <w:sz w:val="20"/>
              </w:rPr>
              <w:t>Nein</w:t>
            </w:r>
          </w:p>
        </w:tc>
      </w:tr>
      <w:tr>
        <w:tc>
          <w:tcPr>
            <w:tcW w:type="dxa" w:w="1296"/>
          </w:tcPr>
          <w:p>
            <w:r>
              <w:rPr>
                <w:rFonts w:ascii="Times New Roman" w:hAnsi="Times New Roman"/>
                <w:sz w:val="20"/>
              </w:rPr>
              <w:t>5</w:t>
            </w:r>
          </w:p>
        </w:tc>
        <w:tc>
          <w:tcPr>
            <w:tcW w:type="dxa" w:w="1296"/>
          </w:tcPr>
          <w:p>
            <w:r>
              <w:rPr>
                <w:rFonts w:ascii="Times New Roman" w:hAnsi="Times New Roman"/>
                <w:sz w:val="20"/>
              </w:rPr>
              <w:t>Kirchensteuer (nur soweit auf angemeldete LSt entfallend)</w:t>
            </w:r>
          </w:p>
        </w:tc>
        <w:tc>
          <w:tcPr>
            <w:tcW w:type="dxa" w:w="1296"/>
          </w:tcPr>
          <w:p>
            <w:r>
              <w:rPr>
                <w:rFonts w:ascii="Times New Roman" w:hAnsi="Times New Roman"/>
                <w:sz w:val="20"/>
              </w:rPr>
              <w:t>März 2026</w:t>
            </w:r>
          </w:p>
        </w:tc>
        <w:tc>
          <w:tcPr>
            <w:tcW w:type="dxa" w:w="1296"/>
          </w:tcPr>
          <w:p>
            <w:r>
              <w:rPr>
                <w:rFonts w:ascii="Times New Roman" w:hAnsi="Times New Roman"/>
                <w:sz w:val="20"/>
              </w:rPr>
              <w:t>219,00</w:t>
            </w:r>
          </w:p>
        </w:tc>
        <w:tc>
          <w:tcPr>
            <w:tcW w:type="dxa" w:w="1296"/>
          </w:tcPr>
          <w:p>
            <w:r>
              <w:rPr>
                <w:rFonts w:ascii="Times New Roman" w:hAnsi="Times New Roman"/>
                <w:sz w:val="20"/>
              </w:rPr>
              <w:t>0,00</w:t>
            </w:r>
          </w:p>
        </w:tc>
        <w:tc>
          <w:tcPr>
            <w:tcW w:type="dxa" w:w="1296"/>
          </w:tcPr>
          <w:p>
            <w:r>
              <w:rPr>
                <w:rFonts w:ascii="Times New Roman" w:hAnsi="Times New Roman"/>
                <w:sz w:val="20"/>
              </w:rPr>
              <w:t>219,00</w:t>
            </w:r>
          </w:p>
        </w:tc>
        <w:tc>
          <w:tcPr>
            <w:tcW w:type="dxa" w:w="1296"/>
          </w:tcPr>
          <w:p>
            <w:r>
              <w:rPr>
                <w:rFonts w:ascii="Times New Roman" w:hAnsi="Times New Roman"/>
                <w:sz w:val="20"/>
              </w:rPr>
              <w:t>Nein</w:t>
            </w:r>
          </w:p>
        </w:tc>
      </w:tr>
      <w:tr>
        <w:tc>
          <w:tcPr>
            <w:tcW w:type="dxa" w:w="1296"/>
          </w:tcPr>
          <w:p/>
        </w:tc>
        <w:tc>
          <w:tcPr>
            <w:tcW w:type="dxa" w:w="1296"/>
          </w:tcPr>
          <w:p/>
        </w:tc>
        <w:tc>
          <w:tcPr>
            <w:tcW w:type="dxa" w:w="1296"/>
          </w:tcPr>
          <w:p>
            <w:r>
              <w:rPr>
                <w:rFonts w:ascii="Times New Roman" w:hAnsi="Times New Roman"/>
                <w:b/>
                <w:sz w:val="20"/>
              </w:rPr>
              <w:t>Gesamt</w:t>
            </w:r>
          </w:p>
        </w:tc>
        <w:tc>
          <w:tcPr>
            <w:tcW w:type="dxa" w:w="1296"/>
          </w:tcPr>
          <w:p>
            <w:r>
              <w:rPr>
                <w:rFonts w:ascii="Times New Roman" w:hAnsi="Times New Roman"/>
                <w:b/>
                <w:sz w:val="20"/>
              </w:rPr>
              <w:t>37.070,00</w:t>
            </w:r>
          </w:p>
        </w:tc>
        <w:tc>
          <w:tcPr>
            <w:tcW w:type="dxa" w:w="1296"/>
          </w:tcPr>
          <w:p>
            <w:r>
              <w:rPr>
                <w:rFonts w:ascii="Times New Roman" w:hAnsi="Times New Roman"/>
                <w:b/>
                <w:sz w:val="20"/>
              </w:rPr>
              <w:t>1.330,00</w:t>
            </w:r>
          </w:p>
        </w:tc>
        <w:tc>
          <w:tcPr>
            <w:tcW w:type="dxa" w:w="1296"/>
          </w:tcPr>
          <w:p>
            <w:r>
              <w:rPr>
                <w:rFonts w:ascii="Times New Roman" w:hAnsi="Times New Roman"/>
                <w:b/>
                <w:sz w:val="20"/>
              </w:rPr>
              <w:t>38.400,00</w:t>
            </w:r>
          </w:p>
        </w:tc>
        <w:tc>
          <w:tcPr>
            <w:tcW w:type="dxa" w:w="1296"/>
          </w:tcPr>
          <w:p/>
        </w:tc>
      </w:tr>
    </w:tbl>
    <w:p>
      <w:pPr>
        <w:spacing w:line="259" w:lineRule="auto" w:after="60"/>
      </w:pPr>
    </w:p>
    <w:p>
      <w:pPr>
        <w:pStyle w:val="Heading2"/>
        <w:spacing w:line="259" w:lineRule="auto" w:after="60"/>
      </w:pPr>
      <w:r>
        <w:rPr>
          <w:rFonts w:ascii="Times New Roman" w:hAnsi="Times New Roman"/>
        </w:rPr>
        <w:t>II. Sachverhalt und Entstehungsgrund</w:t>
      </w:r>
    </w:p>
    <w:p>
      <w:pPr>
        <w:pStyle w:val="Heading3"/>
        <w:spacing w:line="259" w:lineRule="auto" w:after="60"/>
      </w:pPr>
      <w:r>
        <w:rPr>
          <w:rFonts w:ascii="Times New Roman" w:hAnsi="Times New Roman"/>
        </w:rPr>
        <w:t>Umsatzsteuer 02/2026</w:t>
      </w:r>
    </w:p>
    <w:p>
      <w:pPr>
        <w:spacing w:line="259" w:lineRule="auto" w:after="60"/>
        <w:jc w:val="left"/>
      </w:pPr>
      <w:r>
        <w:t>Die Phoenix Solar Montage GmbH gab für den Voranmeldezeitraum Februar 2026 eine Umsatzsteuervoranmeldung über eine Zahllast von 18.400,00 EUR ab, die jedoch nicht bezahlt wurde. Das Finanzamt Potsdam setzte mit Bescheid vom 15. März 2026 die Umsatzsteuer entsprechend der abgegebenen Voranmeldung fest. Mahnungen vom 20. März 2026 und 5. April 2026 blieben ohne Reaktion. Vollstreckungsmaßnahmen wurden eingeleitet, aber wegen des Insolvenzantrags ausgesetzt.</w:t>
      </w:r>
    </w:p>
    <w:p>
      <w:pPr>
        <w:pStyle w:val="Heading3"/>
        <w:spacing w:line="259" w:lineRule="auto" w:after="60"/>
      </w:pPr>
      <w:r>
        <w:rPr>
          <w:rFonts w:ascii="Times New Roman" w:hAnsi="Times New Roman"/>
        </w:rPr>
        <w:t>Vorsteuerberichtigung nach § 17 UStG</w:t>
      </w:r>
    </w:p>
    <w:p>
      <w:pPr>
        <w:spacing w:line="259" w:lineRule="auto" w:after="60"/>
        <w:jc w:val="left"/>
      </w:pPr>
      <w:r>
        <w:t xml:space="preserve">Mit Eröffnung des Insolvenzverfahrens am 30. April 2026 sind gemäß § 17 Abs. 2 Nr. 1 UStG die Vorsteuerbeträge zu berichtigen, die aus Lieferungen und Leistungen resultieren, für die das Entgelt nicht mehr geleistet werden wird. Das Finanzamt hat auf der Grundlage der vorliegenden Buchhaltungsdaten und der beim Insolvenzgericht eingereichten Gläubigerliste eine vorläufige Vorsteuerberichtigung in Höhe von </w:t>
      </w:r>
      <w:r>
        <w:rPr>
          <w:b/>
        </w:rPr>
        <w:t>9.800,00 EUR</w:t>
      </w:r>
      <w:r>
        <w:t xml:space="preserve"> vorgenommen und als gesonderte Insolvenzforderung angemeldet.</w:t>
      </w:r>
    </w:p>
    <w:p>
      <w:pPr>
        <w:spacing w:line="259" w:lineRule="auto" w:after="60"/>
        <w:jc w:val="left"/>
      </w:pPr>
      <w:r>
        <w:rPr>
          <w:i/>
        </w:rPr>
        <w:t>Hinweis des Insolvenzverwalters:</w:t>
      </w:r>
      <w:r>
        <w:t xml:space="preserve"> Die Vorsteuerberichtigung nach § 17 UStG ist eine originäre Steuerforderung, die mit der Eröffnung entsteht. Sie ist als Insolvenzforderung anzumelden. Der genaue Betrag hängt von der tatsächlichen Gläubigerliste ab; das Finanzamt wurde gebeten, die Berechnung nach Feststellung der Tabelle zu aktualisieren.</w:t>
      </w:r>
    </w:p>
    <w:p>
      <w:pPr>
        <w:pStyle w:val="Heading3"/>
        <w:spacing w:line="259" w:lineRule="auto" w:after="60"/>
      </w:pPr>
      <w:r>
        <w:rPr>
          <w:rFonts w:ascii="Times New Roman" w:hAnsi="Times New Roman"/>
        </w:rPr>
        <w:t>Lohnsteuer 03/2026</w:t>
      </w:r>
    </w:p>
    <w:p>
      <w:pPr>
        <w:spacing w:line="259" w:lineRule="auto" w:after="60"/>
        <w:jc w:val="left"/>
      </w:pPr>
      <w:r>
        <w:t>Die Lohnsteueranmeldung für März 2026 wurde von der Schuldnerin fristgerecht abgegeben, die Zahlung von 8.200,00 EUR jedoch nicht geleistet. Auch hier blieben Mahnungen fruchtlos.</w:t>
      </w:r>
    </w:p>
    <w:p>
      <w:pPr>
        <w:spacing w:line="259" w:lineRule="auto" w:after="60"/>
      </w:pPr>
    </w:p>
    <w:p>
      <w:pPr>
        <w:pStyle w:val="Heading2"/>
        <w:spacing w:line="259" w:lineRule="auto" w:after="60"/>
      </w:pPr>
      <w:r>
        <w:rPr>
          <w:rFonts w:ascii="Times New Roman" w:hAnsi="Times New Roman"/>
        </w:rPr>
        <w:t>III. Besonderer Rechtsgrund – Steuerstraftat (§ 302 Nr. 1 InsO)</w:t>
      </w:r>
    </w:p>
    <w:p>
      <w:pPr>
        <w:spacing w:line="259" w:lineRule="auto" w:after="60"/>
        <w:jc w:val="left"/>
      </w:pPr>
      <w:r>
        <w:t>Das Finanzamt hat in der Anmeldung für die Positionen Umsatzsteuer 02/2026 und Lohnsteuer 03/2026 das Kästchen "besonderer Rechtsgrund – vorsätzlich begangene unerlaubte Handlung (§ 302 Nr. 1 InsO)" angekreuzt.</w:t>
      </w:r>
    </w:p>
    <w:p>
      <w:pPr>
        <w:spacing w:line="259" w:lineRule="auto" w:after="60"/>
        <w:jc w:val="left"/>
      </w:pPr>
      <w:r>
        <w:rPr>
          <w:b/>
        </w:rPr>
        <w:t>Begründung durch das Finanzamt (Auszug aus der Anmeldung):</w:t>
      </w:r>
    </w:p>
    <w:p>
      <w:pPr>
        <w:spacing w:line="259" w:lineRule="auto" w:after="60"/>
        <w:ind w:left="567"/>
      </w:pPr>
      <w:r>
        <w:rPr>
          <w:i/>
        </w:rPr>
        <w:t>"Gegen den Geschäftsführer Marcus Wendler wird wegen Verdachts der Steuerhinterziehung nach § 370 AO ermittelt. Die Steuerfahndungsstelle Potsdam führt ein Ermittlungsverfahren Az. StFA-2026-044. Es wird der Verdacht erhoben, dass die abgegebenen Voranmeldungen bewusst zu niedrige Umsätze ausgewiesen und Vorsteuer zu Unrecht geltend gemacht wurde."</w:t>
      </w:r>
    </w:p>
    <w:p>
      <w:pPr>
        <w:spacing w:line="259" w:lineRule="auto" w:after="60"/>
        <w:jc w:val="left"/>
      </w:pPr>
      <w:r>
        <w:rPr>
          <w:b/>
        </w:rPr>
        <w:t>Bewertung durch den Insolvenzverwalter:</w:t>
      </w:r>
    </w:p>
    <w:p>
      <w:pPr>
        <w:spacing w:line="259" w:lineRule="auto" w:after="60"/>
        <w:jc w:val="left"/>
      </w:pPr>
      <w:r>
        <w:t xml:space="preserve">Der besondere Rechtsgrund nach § 302 Nr. 1 InsO setzt eine </w:t>
      </w:r>
      <w:r>
        <w:rPr>
          <w:b/>
        </w:rPr>
        <w:t>rechtskräftig festgestellte oder in der Insolvenztabelle titulierte</w:t>
      </w:r>
      <w:r>
        <w:t xml:space="preserve"> vorsätzliche unerlaubte Handlung voraus. Für die Feststellung in der Tabelle mit dem besonderen Rechtsgrund bedarf es nach der Rechtsprechung des BGH (BGH, Urt. v. 12.01.2017 – IX ZR 130/16) zumindest einer schlüssigen Tatsachendarstellung der vorsätzlichen Schädigungshandlung.</w:t>
      </w:r>
    </w:p>
    <w:p>
      <w:pPr>
        <w:spacing w:line="259" w:lineRule="auto" w:after="60"/>
        <w:jc w:val="left"/>
      </w:pPr>
      <w:r>
        <w:t>Im vorliegenden Fall:</w:t>
      </w:r>
    </w:p>
    <w:p>
      <w:pPr>
        <w:pStyle w:val="ListBullet"/>
        <w:spacing w:line="259" w:lineRule="auto" w:after="60"/>
      </w:pPr>
      <w:r>
        <w:t>Ein rechtskräftiges Strafurteil liegt nicht vor.</w:t>
      </w:r>
    </w:p>
    <w:p>
      <w:pPr>
        <w:pStyle w:val="ListBullet"/>
        <w:spacing w:line="259" w:lineRule="auto" w:after="60"/>
      </w:pPr>
      <w:r>
        <w:t>Ein Strafbefehl liegt nicht vor.</w:t>
      </w:r>
    </w:p>
    <w:p>
      <w:pPr>
        <w:pStyle w:val="ListBullet"/>
        <w:spacing w:line="259" w:lineRule="auto" w:after="60"/>
      </w:pPr>
      <w:r>
        <w:t>Eine Anklageschrift wurde nicht eingereicht.</w:t>
      </w:r>
    </w:p>
    <w:p>
      <w:pPr>
        <w:pStyle w:val="ListBullet"/>
        <w:spacing w:line="259" w:lineRule="auto" w:after="60"/>
      </w:pPr>
      <w:r>
        <w:t>Die bloße Einleitung eines Ermittlungsverfahrens begründet den besonderen Rechtsgrund nicht.</w:t>
      </w:r>
    </w:p>
    <w:p>
      <w:pPr>
        <w:spacing w:line="259" w:lineRule="auto" w:after="60"/>
        <w:jc w:val="left"/>
      </w:pPr>
      <w:r>
        <w:t xml:space="preserve">Der Insolvenzverwalter </w:t>
      </w:r>
      <w:r>
        <w:rPr>
          <w:b/>
        </w:rPr>
        <w:t>bestreitet den besonderen Rechtsgrund</w:t>
      </w:r>
      <w:r>
        <w:t>. Die Forderung kann allenfalls als einfache Insolvenzforderung gemäß § 38 InsO festgestellt werden. Das Finanzamt ist mit Nachforderungsschreiben (Dokument 13) aufgefordert worden, die Tatsachenbasis für den besonderen Rechtsgrund vollständig darzustellen und Ermittlungsunterlagen vorzulegen, soweit datenschutzrechtlich zulässig.</w:t>
      </w:r>
    </w:p>
    <w:p>
      <w:pPr>
        <w:spacing w:line="259" w:lineRule="auto" w:after="60"/>
      </w:pPr>
    </w:p>
    <w:p>
      <w:pPr>
        <w:pStyle w:val="Heading2"/>
        <w:spacing w:line="259" w:lineRule="auto" w:after="60"/>
      </w:pPr>
      <w:r>
        <w:rPr>
          <w:rFonts w:ascii="Times New Roman" w:hAnsi="Times New Roman"/>
        </w:rPr>
        <w:t>IV. Säumniszuschläge</w:t>
      </w:r>
    </w:p>
    <w:p>
      <w:pPr>
        <w:spacing w:line="259" w:lineRule="auto" w:after="60"/>
        <w:jc w:val="left"/>
      </w:pPr>
      <w:r>
        <w:t>Säumniszuschläge gemäß § 240 AO (Höhe: 1 % je angefangenen Monat der Säumnis) sind Insolvenzforderungen, soweit sie auf Zeiträume vor Eröffnung entfallen. Säumniszuschläge, die nach dem Eröffnungstag entstanden sind (d. h. ab 30. April 2026), sind Masseforderungen oder nachrangige Forderungen.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Betrag</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SZ auf USt 02/2026 (März–April 2026: 2 Monate)</w:t>
            </w:r>
          </w:p>
        </w:tc>
        <w:tc>
          <w:tcPr>
            <w:tcW w:type="dxa" w:w="3024"/>
          </w:tcPr>
          <w:p>
            <w:r>
              <w:rPr>
                <w:rFonts w:ascii="Times New Roman" w:hAnsi="Times New Roman"/>
                <w:sz w:val="20"/>
              </w:rPr>
              <w:t>920,00 EUR</w:t>
            </w:r>
          </w:p>
        </w:tc>
        <w:tc>
          <w:tcPr>
            <w:tcW w:type="dxa" w:w="3024"/>
          </w:tcPr>
          <w:p>
            <w:r>
              <w:rPr>
                <w:rFonts w:ascii="Times New Roman" w:hAnsi="Times New Roman"/>
                <w:sz w:val="20"/>
              </w:rPr>
              <w:t>Insolvenzforderung, feststellungsfähig</w:t>
            </w:r>
          </w:p>
        </w:tc>
      </w:tr>
      <w:tr>
        <w:tc>
          <w:tcPr>
            <w:tcW w:type="dxa" w:w="3024"/>
          </w:tcPr>
          <w:p>
            <w:r>
              <w:rPr>
                <w:rFonts w:ascii="Times New Roman" w:hAnsi="Times New Roman"/>
                <w:sz w:val="20"/>
              </w:rPr>
              <w:t>SZ auf LSt 03/2026 (April 2026: 1 Monat)</w:t>
            </w:r>
          </w:p>
        </w:tc>
        <w:tc>
          <w:tcPr>
            <w:tcW w:type="dxa" w:w="3024"/>
          </w:tcPr>
          <w:p>
            <w:r>
              <w:rPr>
                <w:rFonts w:ascii="Times New Roman" w:hAnsi="Times New Roman"/>
                <w:sz w:val="20"/>
              </w:rPr>
              <w:t>410,00 EUR</w:t>
            </w:r>
          </w:p>
        </w:tc>
        <w:tc>
          <w:tcPr>
            <w:tcW w:type="dxa" w:w="3024"/>
          </w:tcPr>
          <w:p>
            <w:r>
              <w:rPr>
                <w:rFonts w:ascii="Times New Roman" w:hAnsi="Times New Roman"/>
                <w:sz w:val="20"/>
              </w:rPr>
              <w:t>Insolvenzforderung, feststellungsfähig</w:t>
            </w:r>
          </w:p>
        </w:tc>
      </w:tr>
    </w:tbl>
    <w:p>
      <w:pPr>
        <w:spacing w:line="259" w:lineRule="auto" w:after="60"/>
      </w:pPr>
    </w:p>
    <w:p>
      <w:pPr>
        <w:pStyle w:val="Heading2"/>
        <w:spacing w:line="259" w:lineRule="auto" w:after="60"/>
      </w:pPr>
      <w:r>
        <w:rPr>
          <w:rFonts w:ascii="Times New Roman" w:hAnsi="Times New Roman"/>
        </w:rPr>
        <w:t>V. Rangverhältnis und Rangfolge</w:t>
      </w:r>
    </w:p>
    <w:p>
      <w:pPr>
        <w:spacing w:line="259" w:lineRule="auto" w:after="60"/>
        <w:jc w:val="left"/>
      </w:pPr>
      <w:r>
        <w:t>Alle angemeldeten Steuerforderungen sind einfache Insolvenzforderungen nach § 38 InsO, sofern der besondere Rechtsgrund nicht festgestellt wird. Ein gesetzlicher Vorrang der Steuerforderungen gegenüber anderen § 38-Forderungen besteht nicht (kein insolvenzrechtlicher Steuerprivileg).</w:t>
      </w:r>
    </w:p>
    <w:p>
      <w:pPr>
        <w:spacing w:line="259" w:lineRule="auto" w:after="60"/>
        <w:jc w:val="left"/>
      </w:pPr>
      <w:r>
        <w:t>Die Vorsteuerberichtigung (§ 17 UStG) stellt nach h.M. eine Insolvenzforderung dar, da sie durch die Insolvenz ausgelöst wird und den Verfahrensstand widerspiegelt; sie ist nicht als Masseverbindlichkeit einzuordnen (vgl. BFH, Urt. v. 25.04.2013 – V R 11/11).</w:t>
      </w:r>
    </w:p>
    <w:p>
      <w:pPr>
        <w:spacing w:line="259" w:lineRule="auto" w:after="60"/>
      </w:pPr>
    </w:p>
    <w:p>
      <w:pPr>
        <w:pStyle w:val="Heading2"/>
        <w:spacing w:line="259" w:lineRule="auto" w:after="60"/>
      </w:pPr>
      <w:r>
        <w:rPr>
          <w:rFonts w:ascii="Times New Roman" w:hAnsi="Times New Roman"/>
        </w:rPr>
        <w:t>VI. Prüfungsbefund und Vorläufige Prüfentscheidung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Angemeldet (EUR)</w:t>
            </w:r>
          </w:p>
        </w:tc>
        <w:tc>
          <w:tcPr>
            <w:tcW w:type="dxa" w:w="1814"/>
          </w:tcPr>
          <w:p>
            <w:r>
              <w:rPr>
                <w:rFonts w:ascii="Times New Roman" w:hAnsi="Times New Roman"/>
                <w:b/>
                <w:sz w:val="20"/>
              </w:rPr>
              <w:t>Vorschlag Feststellung (EUR)</w:t>
            </w:r>
          </w:p>
        </w:tc>
        <w:tc>
          <w:tcPr>
            <w:tcW w:type="dxa" w:w="1814"/>
          </w:tcPr>
          <w:p>
            <w:r>
              <w:rPr>
                <w:rFonts w:ascii="Times New Roman" w:hAnsi="Times New Roman"/>
                <w:b/>
                <w:sz w:val="20"/>
              </w:rPr>
              <w:t>Bestreiten (EUR)</w:t>
            </w:r>
          </w:p>
        </w:tc>
        <w:tc>
          <w:tcPr>
            <w:tcW w:type="dxa" w:w="1814"/>
          </w:tcPr>
          <w:p>
            <w:r>
              <w:rPr>
                <w:rFonts w:ascii="Times New Roman" w:hAnsi="Times New Roman"/>
                <w:b/>
                <w:sz w:val="20"/>
              </w:rPr>
              <w:t>Hinweis</w:t>
            </w:r>
          </w:p>
        </w:tc>
      </w:tr>
      <w:tr>
        <w:tc>
          <w:tcPr>
            <w:tcW w:type="dxa" w:w="1814"/>
          </w:tcPr>
          <w:p>
            <w:r>
              <w:rPr>
                <w:rFonts w:ascii="Times New Roman" w:hAnsi="Times New Roman"/>
                <w:sz w:val="20"/>
              </w:rPr>
              <w:t>USt 02/2026 (Hauptforderung)</w:t>
            </w:r>
          </w:p>
        </w:tc>
        <w:tc>
          <w:tcPr>
            <w:tcW w:type="dxa" w:w="1814"/>
          </w:tcPr>
          <w:p>
            <w:r>
              <w:rPr>
                <w:rFonts w:ascii="Times New Roman" w:hAnsi="Times New Roman"/>
                <w:sz w:val="20"/>
              </w:rPr>
              <w:t>18.400,00</w:t>
            </w:r>
          </w:p>
        </w:tc>
        <w:tc>
          <w:tcPr>
            <w:tcW w:type="dxa" w:w="1814"/>
          </w:tcPr>
          <w:p>
            <w:r>
              <w:rPr>
                <w:rFonts w:ascii="Times New Roman" w:hAnsi="Times New Roman"/>
                <w:sz w:val="20"/>
              </w:rPr>
              <w:t>18.400,00</w:t>
            </w:r>
          </w:p>
        </w:tc>
        <w:tc>
          <w:tcPr>
            <w:tcW w:type="dxa" w:w="1814"/>
          </w:tcPr>
          <w:p>
            <w:r>
              <w:rPr>
                <w:rFonts w:ascii="Times New Roman" w:hAnsi="Times New Roman"/>
                <w:sz w:val="20"/>
              </w:rPr>
              <w:t>0,00</w:t>
            </w:r>
          </w:p>
        </w:tc>
        <w:tc>
          <w:tcPr>
            <w:tcW w:type="dxa" w:w="1814"/>
          </w:tcPr>
          <w:p>
            <w:r>
              <w:rPr>
                <w:rFonts w:ascii="Times New Roman" w:hAnsi="Times New Roman"/>
                <w:sz w:val="20"/>
              </w:rPr>
              <w:t>Feststellung ohne besonderen Rechtsgrund</w:t>
            </w:r>
          </w:p>
        </w:tc>
      </w:tr>
      <w:tr>
        <w:tc>
          <w:tcPr>
            <w:tcW w:type="dxa" w:w="1814"/>
          </w:tcPr>
          <w:p>
            <w:r>
              <w:rPr>
                <w:rFonts w:ascii="Times New Roman" w:hAnsi="Times New Roman"/>
                <w:sz w:val="20"/>
              </w:rPr>
              <w:t>Säumniszuschlag USt</w:t>
            </w:r>
          </w:p>
        </w:tc>
        <w:tc>
          <w:tcPr>
            <w:tcW w:type="dxa" w:w="1814"/>
          </w:tcPr>
          <w:p>
            <w:r>
              <w:rPr>
                <w:rFonts w:ascii="Times New Roman" w:hAnsi="Times New Roman"/>
                <w:sz w:val="20"/>
              </w:rPr>
              <w:t>920,00</w:t>
            </w:r>
          </w:p>
        </w:tc>
        <w:tc>
          <w:tcPr>
            <w:tcW w:type="dxa" w:w="1814"/>
          </w:tcPr>
          <w:p>
            <w:r>
              <w:rPr>
                <w:rFonts w:ascii="Times New Roman" w:hAnsi="Times New Roman"/>
                <w:sz w:val="20"/>
              </w:rPr>
              <w:t>920,00</w:t>
            </w:r>
          </w:p>
        </w:tc>
        <w:tc>
          <w:tcPr>
            <w:tcW w:type="dxa" w:w="1814"/>
          </w:tcPr>
          <w:p>
            <w:r>
              <w:rPr>
                <w:rFonts w:ascii="Times New Roman" w:hAnsi="Times New Roman"/>
                <w:sz w:val="20"/>
              </w:rPr>
              <w:t>0,00</w:t>
            </w:r>
          </w:p>
        </w:tc>
        <w:tc>
          <w:tcPr>
            <w:tcW w:type="dxa" w:w="1814"/>
          </w:tcPr>
          <w:p>
            <w:r>
              <w:rPr>
                <w:rFonts w:ascii="Times New Roman" w:hAnsi="Times New Roman"/>
                <w:sz w:val="20"/>
              </w:rPr>
              <w:t>Zeitraum korrekt</w:t>
            </w:r>
          </w:p>
        </w:tc>
      </w:tr>
      <w:tr>
        <w:tc>
          <w:tcPr>
            <w:tcW w:type="dxa" w:w="1814"/>
          </w:tcPr>
          <w:p>
            <w:r>
              <w:rPr>
                <w:rFonts w:ascii="Times New Roman" w:hAnsi="Times New Roman"/>
                <w:sz w:val="20"/>
              </w:rPr>
              <w:t>Vorsteuerberichtigung § 17 UStG</w:t>
            </w:r>
          </w:p>
        </w:tc>
        <w:tc>
          <w:tcPr>
            <w:tcW w:type="dxa" w:w="1814"/>
          </w:tcPr>
          <w:p>
            <w:r>
              <w:rPr>
                <w:rFonts w:ascii="Times New Roman" w:hAnsi="Times New Roman"/>
                <w:sz w:val="20"/>
              </w:rPr>
              <w:t>9.800,00</w:t>
            </w:r>
          </w:p>
        </w:tc>
        <w:tc>
          <w:tcPr>
            <w:tcW w:type="dxa" w:w="1814"/>
          </w:tcPr>
          <w:p>
            <w:r>
              <w:rPr>
                <w:rFonts w:ascii="Times New Roman" w:hAnsi="Times New Roman"/>
                <w:sz w:val="20"/>
              </w:rPr>
              <w:t>9.800,00</w:t>
            </w:r>
          </w:p>
        </w:tc>
        <w:tc>
          <w:tcPr>
            <w:tcW w:type="dxa" w:w="1814"/>
          </w:tcPr>
          <w:p>
            <w:r>
              <w:rPr>
                <w:rFonts w:ascii="Times New Roman" w:hAnsi="Times New Roman"/>
                <w:sz w:val="20"/>
              </w:rPr>
              <w:t>0,00</w:t>
            </w:r>
          </w:p>
        </w:tc>
        <w:tc>
          <w:tcPr>
            <w:tcW w:type="dxa" w:w="1814"/>
          </w:tcPr>
          <w:p>
            <w:r>
              <w:rPr>
                <w:rFonts w:ascii="Times New Roman" w:hAnsi="Times New Roman"/>
                <w:sz w:val="20"/>
              </w:rPr>
              <w:t>Vorbehalt: Nachberechnung nach Tabellenstand</w:t>
            </w:r>
          </w:p>
        </w:tc>
      </w:tr>
      <w:tr>
        <w:tc>
          <w:tcPr>
            <w:tcW w:type="dxa" w:w="1814"/>
          </w:tcPr>
          <w:p>
            <w:r>
              <w:rPr>
                <w:rFonts w:ascii="Times New Roman" w:hAnsi="Times New Roman"/>
                <w:sz w:val="20"/>
              </w:rPr>
              <w:t>LSt 03/2026 (Hauptforderung)</w:t>
            </w:r>
          </w:p>
        </w:tc>
        <w:tc>
          <w:tcPr>
            <w:tcW w:type="dxa" w:w="1814"/>
          </w:tcPr>
          <w:p>
            <w:r>
              <w:rPr>
                <w:rFonts w:ascii="Times New Roman" w:hAnsi="Times New Roman"/>
                <w:sz w:val="20"/>
              </w:rPr>
              <w:t>8.200,00</w:t>
            </w:r>
          </w:p>
        </w:tc>
        <w:tc>
          <w:tcPr>
            <w:tcW w:type="dxa" w:w="1814"/>
          </w:tcPr>
          <w:p>
            <w:r>
              <w:rPr>
                <w:rFonts w:ascii="Times New Roman" w:hAnsi="Times New Roman"/>
                <w:sz w:val="20"/>
              </w:rPr>
              <w:t>8.200,00</w:t>
            </w:r>
          </w:p>
        </w:tc>
        <w:tc>
          <w:tcPr>
            <w:tcW w:type="dxa" w:w="1814"/>
          </w:tcPr>
          <w:p>
            <w:r>
              <w:rPr>
                <w:rFonts w:ascii="Times New Roman" w:hAnsi="Times New Roman"/>
                <w:sz w:val="20"/>
              </w:rPr>
              <w:t>0,00</w:t>
            </w:r>
          </w:p>
        </w:tc>
        <w:tc>
          <w:tcPr>
            <w:tcW w:type="dxa" w:w="1814"/>
          </w:tcPr>
          <w:p>
            <w:r>
              <w:rPr>
                <w:rFonts w:ascii="Times New Roman" w:hAnsi="Times New Roman"/>
                <w:sz w:val="20"/>
              </w:rPr>
              <w:t>Feststellung ohne besonderen Rechtsgrund</w:t>
            </w:r>
          </w:p>
        </w:tc>
      </w:tr>
      <w:tr>
        <w:tc>
          <w:tcPr>
            <w:tcW w:type="dxa" w:w="1814"/>
          </w:tcPr>
          <w:p>
            <w:r>
              <w:rPr>
                <w:rFonts w:ascii="Times New Roman" w:hAnsi="Times New Roman"/>
                <w:sz w:val="20"/>
              </w:rPr>
              <w:t>SolZ März 2026</w:t>
            </w:r>
          </w:p>
        </w:tc>
        <w:tc>
          <w:tcPr>
            <w:tcW w:type="dxa" w:w="1814"/>
          </w:tcPr>
          <w:p>
            <w:r>
              <w:rPr>
                <w:rFonts w:ascii="Times New Roman" w:hAnsi="Times New Roman"/>
                <w:sz w:val="20"/>
              </w:rPr>
              <w:t>451,00</w:t>
            </w:r>
          </w:p>
        </w:tc>
        <w:tc>
          <w:tcPr>
            <w:tcW w:type="dxa" w:w="1814"/>
          </w:tcPr>
          <w:p>
            <w:r>
              <w:rPr>
                <w:rFonts w:ascii="Times New Roman" w:hAnsi="Times New Roman"/>
                <w:sz w:val="20"/>
              </w:rPr>
              <w:t>451,00</w:t>
            </w:r>
          </w:p>
        </w:tc>
        <w:tc>
          <w:tcPr>
            <w:tcW w:type="dxa" w:w="1814"/>
          </w:tcPr>
          <w:p>
            <w:r>
              <w:rPr>
                <w:rFonts w:ascii="Times New Roman" w:hAnsi="Times New Roman"/>
                <w:sz w:val="20"/>
              </w:rPr>
              <w:t>0,00</w:t>
            </w:r>
          </w:p>
        </w:tc>
        <w:tc>
          <w:tcPr>
            <w:tcW w:type="dxa" w:w="1814"/>
          </w:tcPr>
          <w:p>
            <w:r>
              <w:rPr>
                <w:rFonts w:ascii="Times New Roman" w:hAnsi="Times New Roman"/>
                <w:sz w:val="20"/>
              </w:rPr>
              <w:t>Schlüssig belegt</w:t>
            </w:r>
          </w:p>
        </w:tc>
      </w:tr>
      <w:tr>
        <w:tc>
          <w:tcPr>
            <w:tcW w:type="dxa" w:w="1814"/>
          </w:tcPr>
          <w:p>
            <w:r>
              <w:rPr>
                <w:rFonts w:ascii="Times New Roman" w:hAnsi="Times New Roman"/>
                <w:sz w:val="20"/>
              </w:rPr>
              <w:t>KiSt März 2026</w:t>
            </w:r>
          </w:p>
        </w:tc>
        <w:tc>
          <w:tcPr>
            <w:tcW w:type="dxa" w:w="1814"/>
          </w:tcPr>
          <w:p>
            <w:r>
              <w:rPr>
                <w:rFonts w:ascii="Times New Roman" w:hAnsi="Times New Roman"/>
                <w:sz w:val="20"/>
              </w:rPr>
              <w:t>219,00</w:t>
            </w:r>
          </w:p>
        </w:tc>
        <w:tc>
          <w:tcPr>
            <w:tcW w:type="dxa" w:w="1814"/>
          </w:tcPr>
          <w:p>
            <w:r>
              <w:rPr>
                <w:rFonts w:ascii="Times New Roman" w:hAnsi="Times New Roman"/>
                <w:sz w:val="20"/>
              </w:rPr>
              <w:t>219,00</w:t>
            </w:r>
          </w:p>
        </w:tc>
        <w:tc>
          <w:tcPr>
            <w:tcW w:type="dxa" w:w="1814"/>
          </w:tcPr>
          <w:p>
            <w:r>
              <w:rPr>
                <w:rFonts w:ascii="Times New Roman" w:hAnsi="Times New Roman"/>
                <w:sz w:val="20"/>
              </w:rPr>
              <w:t>0,00</w:t>
            </w:r>
          </w:p>
        </w:tc>
        <w:tc>
          <w:tcPr>
            <w:tcW w:type="dxa" w:w="1814"/>
          </w:tcPr>
          <w:p>
            <w:r>
              <w:rPr>
                <w:rFonts w:ascii="Times New Roman" w:hAnsi="Times New Roman"/>
                <w:sz w:val="20"/>
              </w:rPr>
              <w:t>Schlüssig belegt</w:t>
            </w:r>
          </w:p>
        </w:tc>
      </w:tr>
      <w:tr>
        <w:tc>
          <w:tcPr>
            <w:tcW w:type="dxa" w:w="1814"/>
          </w:tcPr>
          <w:p>
            <w:r>
              <w:rPr>
                <w:rFonts w:ascii="Times New Roman" w:hAnsi="Times New Roman"/>
                <w:sz w:val="20"/>
              </w:rPr>
              <w:t>SZ LSt</w:t>
            </w:r>
          </w:p>
        </w:tc>
        <w:tc>
          <w:tcPr>
            <w:tcW w:type="dxa" w:w="1814"/>
          </w:tcPr>
          <w:p>
            <w:r>
              <w:rPr>
                <w:rFonts w:ascii="Times New Roman" w:hAnsi="Times New Roman"/>
                <w:sz w:val="20"/>
              </w:rPr>
              <w:t>410,00</w:t>
            </w:r>
          </w:p>
        </w:tc>
        <w:tc>
          <w:tcPr>
            <w:tcW w:type="dxa" w:w="1814"/>
          </w:tcPr>
          <w:p>
            <w:r>
              <w:rPr>
                <w:rFonts w:ascii="Times New Roman" w:hAnsi="Times New Roman"/>
                <w:sz w:val="20"/>
              </w:rPr>
              <w:t>410,00</w:t>
            </w:r>
          </w:p>
        </w:tc>
        <w:tc>
          <w:tcPr>
            <w:tcW w:type="dxa" w:w="1814"/>
          </w:tcPr>
          <w:p>
            <w:r>
              <w:rPr>
                <w:rFonts w:ascii="Times New Roman" w:hAnsi="Times New Roman"/>
                <w:sz w:val="20"/>
              </w:rPr>
              <w:t>0,00</w:t>
            </w:r>
          </w:p>
        </w:tc>
        <w:tc>
          <w:tcPr>
            <w:tcW w:type="dxa" w:w="1814"/>
          </w:tcPr>
          <w:p>
            <w:r>
              <w:rPr>
                <w:rFonts w:ascii="Times New Roman" w:hAnsi="Times New Roman"/>
                <w:sz w:val="20"/>
              </w:rPr>
              <w:t>Zeitraum korrekt</w:t>
            </w:r>
          </w:p>
        </w:tc>
      </w:tr>
      <w:tr>
        <w:tc>
          <w:tcPr>
            <w:tcW w:type="dxa" w:w="1814"/>
          </w:tcPr>
          <w:p>
            <w:r>
              <w:rPr>
                <w:rFonts w:ascii="Times New Roman" w:hAnsi="Times New Roman"/>
                <w:b/>
                <w:sz w:val="20"/>
              </w:rPr>
              <w:t>Gesamt</w:t>
            </w:r>
          </w:p>
        </w:tc>
        <w:tc>
          <w:tcPr>
            <w:tcW w:type="dxa" w:w="1814"/>
          </w:tcPr>
          <w:p>
            <w:r>
              <w:rPr>
                <w:rFonts w:ascii="Times New Roman" w:hAnsi="Times New Roman"/>
                <w:b/>
                <w:sz w:val="20"/>
              </w:rPr>
              <w:t>38.400,00</w:t>
            </w:r>
          </w:p>
        </w:tc>
        <w:tc>
          <w:tcPr>
            <w:tcW w:type="dxa" w:w="1814"/>
          </w:tcPr>
          <w:p>
            <w:r>
              <w:rPr>
                <w:rFonts w:ascii="Times New Roman" w:hAnsi="Times New Roman"/>
                <w:b/>
                <w:sz w:val="20"/>
              </w:rPr>
              <w:t>38.400,00</w:t>
            </w:r>
          </w:p>
        </w:tc>
        <w:tc>
          <w:tcPr>
            <w:tcW w:type="dxa" w:w="1814"/>
          </w:tcPr>
          <w:p>
            <w:r>
              <w:rPr>
                <w:rFonts w:ascii="Times New Roman" w:hAnsi="Times New Roman"/>
                <w:sz w:val="20"/>
              </w:rPr>
              <w:t>–</w:t>
            </w:r>
          </w:p>
        </w:tc>
        <w:tc>
          <w:tcPr>
            <w:tcW w:type="dxa" w:w="1814"/>
          </w:tcPr>
          <w:p>
            <w:r>
              <w:rPr>
                <w:rFonts w:ascii="Times New Roman" w:hAnsi="Times New Roman"/>
                <w:b/>
                <w:sz w:val="20"/>
              </w:rPr>
              <w:t>ohne besonderen Rechtsgrund</w:t>
            </w:r>
          </w:p>
        </w:tc>
      </w:tr>
    </w:tbl>
    <w:p>
      <w:pPr>
        <w:spacing w:line="259" w:lineRule="auto" w:after="60"/>
        <w:jc w:val="left"/>
      </w:pPr>
      <w:r>
        <w:t xml:space="preserve">Besonderer Rechtsgrund (§ 302 Nr. 1 InsO): </w:t>
      </w:r>
      <w:r>
        <w:rPr>
          <w:b/>
        </w:rPr>
        <w:t>bestritten</w:t>
      </w:r>
      <w:r>
        <w:t xml:space="preserve"> durch Insolvenzverwalter. Das Finanzamt muss im Streitfall Feststellungsklage gegen den widersprechenden Insolvenzverwalter erheben (§ 185 InsO i.V.m. § 184 InsO).</w:t>
      </w:r>
    </w:p>
    <w:p>
      <w:pPr>
        <w:spacing w:line="259" w:lineRule="auto" w:after="60"/>
      </w:pPr>
    </w:p>
    <w:p>
      <w:pPr>
        <w:pStyle w:val="Heading2"/>
        <w:spacing w:line="259" w:lineRule="auto" w:after="60"/>
      </w:pPr>
      <w:r>
        <w:rPr>
          <w:rFonts w:ascii="Times New Roman" w:hAnsi="Times New Roman"/>
        </w:rPr>
        <w:t>Anlagen</w:t>
      </w:r>
    </w:p>
    <w:p>
      <w:pPr>
        <w:pStyle w:val="ListBullet"/>
        <w:spacing w:line="259" w:lineRule="auto" w:after="60"/>
      </w:pPr>
      <w:r>
        <w:rPr>
          <w:b/>
        </w:rPr>
        <w:t>C1:</w:t>
      </w:r>
      <w:r>
        <w:t xml:space="preserve"> Umsatzsteuervoranmeldung 02/2026 der Schuldnerin</w:t>
      </w:r>
    </w:p>
    <w:p>
      <w:pPr>
        <w:pStyle w:val="ListBullet"/>
        <w:spacing w:line="259" w:lineRule="auto" w:after="60"/>
      </w:pPr>
      <w:r>
        <w:rPr>
          <w:b/>
        </w:rPr>
        <w:t>C2:</w:t>
      </w:r>
      <w:r>
        <w:t xml:space="preserve"> Festsetzungsbescheid USt 02/2026 vom 15. März 2026</w:t>
      </w:r>
    </w:p>
    <w:p>
      <w:pPr>
        <w:pStyle w:val="ListBullet"/>
        <w:spacing w:line="259" w:lineRule="auto" w:after="60"/>
      </w:pPr>
      <w:r>
        <w:rPr>
          <w:b/>
        </w:rPr>
        <w:t>C3:</w:t>
      </w:r>
      <w:r>
        <w:t xml:space="preserve"> Mahnschreiben 20. März 2026 und 5. April 2026</w:t>
      </w:r>
    </w:p>
    <w:p>
      <w:pPr>
        <w:pStyle w:val="ListBullet"/>
        <w:spacing w:line="259" w:lineRule="auto" w:after="60"/>
      </w:pPr>
      <w:r>
        <w:rPr>
          <w:b/>
        </w:rPr>
        <w:t>C4:</w:t>
      </w:r>
      <w:r>
        <w:t xml:space="preserve"> Lohnsteueranmeldung 03/2026 der Schuldnerin</w:t>
      </w:r>
    </w:p>
    <w:p>
      <w:pPr>
        <w:pStyle w:val="ListBullet"/>
        <w:spacing w:line="259" w:lineRule="auto" w:after="60"/>
      </w:pPr>
      <w:r>
        <w:rPr>
          <w:b/>
        </w:rPr>
        <w:t>C5:</w:t>
      </w:r>
      <w:r>
        <w:t xml:space="preserve"> Steuerkontoauszug Stand 30. April 2026</w:t>
      </w:r>
    </w:p>
    <w:p>
      <w:pPr>
        <w:pStyle w:val="ListBullet"/>
        <w:spacing w:line="259" w:lineRule="auto" w:after="60"/>
      </w:pPr>
      <w:r>
        <w:rPr>
          <w:b/>
        </w:rPr>
        <w:t>C6:</w:t>
      </w:r>
      <w:r>
        <w:t xml:space="preserve"> Vorsteuerberichtigungs-Berechnung des Finanzamts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