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Forderungsanmeldung – Lena Vogt (Lohn vor Insolvenzgeld-Zeitraum, vbuH-Behauptung)</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sz w:val="22"/>
        </w:rPr>
        <w:t>Gläubiger-ID (intern):</w:t>
      </w:r>
      <w:r>
        <w:rPr>
          <w:rFonts w:ascii="Times New Roman" w:hAnsi="Times New Roman"/>
          <w:b/>
          <w:sz w:val="22"/>
        </w:rPr>
        <w:t xml:space="preserve"> G005</w:t>
      </w:r>
    </w:p>
    <w:p>
      <w:pPr>
        <w:spacing w:before="120" w:after="60" w:line="259" w:lineRule="auto"/>
        <w:jc w:val="left"/>
      </w:pPr>
      <w:r>
        <w:rPr>
          <w:rFonts w:ascii="Times New Roman" w:hAnsi="Times New Roman"/>
          <w:b/>
          <w:sz w:val="22"/>
        </w:rPr>
        <w:t>Eingang:</w:t>
      </w:r>
      <w:r>
        <w:rPr>
          <w:rFonts w:ascii="Times New Roman" w:hAnsi="Times New Roman"/>
          <w:b/>
          <w:sz w:val="22"/>
        </w:rPr>
        <w:t xml:space="preserve"> 10. Mai 2026 (Briefpost)</w:t>
      </w:r>
    </w:p>
    <w:p>
      <w:pPr>
        <w:spacing w:line="259" w:lineRule="auto" w:after="60"/>
        <w:jc w:val="left"/>
      </w:pPr>
      <w:r>
        <w:rPr>
          <w:b/>
        </w:rPr>
        <w:t>Anmeldungstyp:</w:t>
      </w:r>
      <w:r>
        <w:t xml:space="preserve"> Einfache Insolvenzforderung (§ 38 InsO) für Lohnrückstand; vbuH-Ankreuzung (§ 302 Nr. 1 InsO) bisher nicht schlüssig begründet</w:t>
      </w:r>
    </w:p>
    <w:p>
      <w:pPr>
        <w:spacing w:line="259" w:lineRule="auto" w:after="60"/>
      </w:pPr>
    </w:p>
    <w:p>
      <w:pPr>
        <w:pStyle w:val="Heading2"/>
        <w:spacing w:before="120" w:after="60" w:line="259" w:lineRule="auto"/>
      </w:pPr>
      <w:r>
        <w:rPr>
          <w:rFonts w:ascii="Times New Roman" w:hAnsi="Times New Roman"/>
          <w:b/>
          <w:sz w:val="22"/>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Gläubigerin</w:t>
            </w:r>
          </w:p>
        </w:tc>
        <w:tc>
          <w:tcPr>
            <w:tcW w:type="dxa" w:w="4536"/>
          </w:tcPr>
          <w:p>
            <w:r>
              <w:rPr>
                <w:rFonts w:ascii="Times New Roman" w:hAnsi="Times New Roman"/>
                <w:sz w:val="20"/>
              </w:rPr>
              <w:t>Lena Vogt</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Pappelallee 31, 14469 Potsdam</w:t>
            </w:r>
          </w:p>
        </w:tc>
      </w:tr>
      <w:tr>
        <w:tc>
          <w:tcPr>
            <w:tcW w:type="dxa" w:w="4536"/>
          </w:tcPr>
          <w:p>
            <w:r>
              <w:rPr>
                <w:rFonts w:ascii="Times New Roman" w:hAnsi="Times New Roman"/>
                <w:b/>
                <w:sz w:val="20"/>
              </w:rPr>
              <w:t>Beschäftigung</w:t>
            </w:r>
          </w:p>
        </w:tc>
        <w:tc>
          <w:tcPr>
            <w:tcW w:type="dxa" w:w="4536"/>
          </w:tcPr>
          <w:p>
            <w:r>
              <w:rPr>
                <w:rFonts w:ascii="Times New Roman" w:hAnsi="Times New Roman"/>
                <w:sz w:val="20"/>
              </w:rPr>
              <w:t>Montageassistentin, seit 01.09.2023, unbefristetes Arbeitsverhältnis</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 (keine anwaltliche Vertretung bei Erstanmeldung)</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r>
        <w:tc>
          <w:tcPr>
            <w:tcW w:type="dxa" w:w="4536"/>
          </w:tcPr>
          <w:p>
            <w:r>
              <w:rPr>
                <w:rFonts w:ascii="Times New Roman" w:hAnsi="Times New Roman"/>
                <w:b/>
                <w:sz w:val="20"/>
              </w:rPr>
              <w:t>Personalnummer</w:t>
            </w:r>
          </w:p>
        </w:tc>
        <w:tc>
          <w:tcPr>
            <w:tcW w:type="dxa" w:w="4536"/>
          </w:tcPr>
          <w:p>
            <w:r>
              <w:rPr>
                <w:rFonts w:ascii="Times New Roman" w:hAnsi="Times New Roman"/>
                <w:sz w:val="20"/>
              </w:rPr>
              <w:t>PNR-PHX-0044</w:t>
            </w:r>
          </w:p>
        </w:tc>
      </w:tr>
    </w:tbl>
    <w:p>
      <w:pPr>
        <w:spacing w:line="259" w:lineRule="auto" w:after="60"/>
      </w:pPr>
    </w:p>
    <w:p>
      <w:pPr>
        <w:pStyle w:val="Heading2"/>
        <w:spacing w:line="259" w:lineRule="auto" w:after="60"/>
      </w:pPr>
      <w:r>
        <w:rPr>
          <w:rFonts w:ascii="Times New Roman" w:hAnsi="Times New Roman"/>
        </w:rPr>
        <w:t>I. Angemeldete Forderungen im Überblick</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Pos.</w:t>
            </w:r>
          </w:p>
        </w:tc>
        <w:tc>
          <w:tcPr>
            <w:tcW w:type="dxa" w:w="1512"/>
          </w:tcPr>
          <w:p>
            <w:r>
              <w:rPr>
                <w:rFonts w:ascii="Times New Roman" w:hAnsi="Times New Roman"/>
                <w:b/>
                <w:sz w:val="20"/>
              </w:rPr>
              <w:t>Forderungsart</w:t>
            </w:r>
          </w:p>
        </w:tc>
        <w:tc>
          <w:tcPr>
            <w:tcW w:type="dxa" w:w="1512"/>
          </w:tcPr>
          <w:p>
            <w:r>
              <w:rPr>
                <w:rFonts w:ascii="Times New Roman" w:hAnsi="Times New Roman"/>
                <w:b/>
                <w:sz w:val="20"/>
              </w:rPr>
              <w:t>Zeitraum</w:t>
            </w:r>
          </w:p>
        </w:tc>
        <w:tc>
          <w:tcPr>
            <w:tcW w:type="dxa" w:w="1512"/>
          </w:tcPr>
          <w:p>
            <w:r>
              <w:rPr>
                <w:rFonts w:ascii="Times New Roman" w:hAnsi="Times New Roman"/>
                <w:b/>
                <w:sz w:val="20"/>
              </w:rPr>
              <w:t>Betrag (EUR)</w:t>
            </w:r>
          </w:p>
        </w:tc>
        <w:tc>
          <w:tcPr>
            <w:tcW w:type="dxa" w:w="1512"/>
          </w:tcPr>
          <w:p>
            <w:r>
              <w:rPr>
                <w:rFonts w:ascii="Times New Roman" w:hAnsi="Times New Roman"/>
                <w:b/>
                <w:sz w:val="20"/>
              </w:rPr>
              <w:t>Besonderer Rechtsgrund</w:t>
            </w:r>
          </w:p>
        </w:tc>
        <w:tc>
          <w:tcPr>
            <w:tcW w:type="dxa" w:w="1512"/>
          </w:tcPr>
          <w:p>
            <w:r>
              <w:rPr>
                <w:rFonts w:ascii="Times New Roman" w:hAnsi="Times New Roman"/>
                <w:b/>
                <w:sz w:val="20"/>
              </w:rPr>
              <w:t>Belege</w:t>
            </w:r>
          </w:p>
        </w:tc>
      </w:tr>
      <w:tr>
        <w:tc>
          <w:tcPr>
            <w:tcW w:type="dxa" w:w="1512"/>
          </w:tcPr>
          <w:p>
            <w:r>
              <w:rPr>
                <w:rFonts w:ascii="Times New Roman" w:hAnsi="Times New Roman"/>
                <w:sz w:val="20"/>
              </w:rPr>
              <w:t>1</w:t>
            </w:r>
          </w:p>
        </w:tc>
        <w:tc>
          <w:tcPr>
            <w:tcW w:type="dxa" w:w="1512"/>
          </w:tcPr>
          <w:p>
            <w:r>
              <w:rPr>
                <w:rFonts w:ascii="Times New Roman" w:hAnsi="Times New Roman"/>
                <w:sz w:val="20"/>
              </w:rPr>
              <w:t>Bruttolohn März 2026</w:t>
            </w:r>
          </w:p>
        </w:tc>
        <w:tc>
          <w:tcPr>
            <w:tcW w:type="dxa" w:w="1512"/>
          </w:tcPr>
          <w:p>
            <w:r>
              <w:rPr>
                <w:rFonts w:ascii="Times New Roman" w:hAnsi="Times New Roman"/>
                <w:sz w:val="20"/>
              </w:rPr>
              <w:t>01.03.–31.03.2026</w:t>
            </w:r>
          </w:p>
        </w:tc>
        <w:tc>
          <w:tcPr>
            <w:tcW w:type="dxa" w:w="1512"/>
          </w:tcPr>
          <w:p>
            <w:r>
              <w:rPr>
                <w:rFonts w:ascii="Times New Roman" w:hAnsi="Times New Roman"/>
                <w:sz w:val="20"/>
              </w:rPr>
              <w:t>3.100,00</w:t>
            </w:r>
          </w:p>
        </w:tc>
        <w:tc>
          <w:tcPr>
            <w:tcW w:type="dxa" w:w="1512"/>
          </w:tcPr>
          <w:p>
            <w:r>
              <w:rPr>
                <w:rFonts w:ascii="Times New Roman" w:hAnsi="Times New Roman"/>
                <w:sz w:val="20"/>
              </w:rPr>
              <w:t>nein</w:t>
            </w:r>
          </w:p>
        </w:tc>
        <w:tc>
          <w:tcPr>
            <w:tcW w:type="dxa" w:w="1512"/>
          </w:tcPr>
          <w:p>
            <w:r>
              <w:rPr>
                <w:rFonts w:ascii="Times New Roman" w:hAnsi="Times New Roman"/>
                <w:sz w:val="20"/>
              </w:rPr>
              <w:t>Lohnabrechnung März (Anlage E1)</w:t>
            </w:r>
          </w:p>
        </w:tc>
      </w:tr>
      <w:tr>
        <w:tc>
          <w:tcPr>
            <w:tcW w:type="dxa" w:w="1512"/>
          </w:tcPr>
          <w:p>
            <w:r>
              <w:rPr>
                <w:rFonts w:ascii="Times New Roman" w:hAnsi="Times New Roman"/>
                <w:sz w:val="20"/>
              </w:rPr>
              <w:t>2</w:t>
            </w:r>
          </w:p>
        </w:tc>
        <w:tc>
          <w:tcPr>
            <w:tcW w:type="dxa" w:w="1512"/>
          </w:tcPr>
          <w:p>
            <w:r>
              <w:rPr>
                <w:rFonts w:ascii="Times New Roman" w:hAnsi="Times New Roman"/>
                <w:sz w:val="20"/>
              </w:rPr>
              <w:t>Bruttolohn April 2026 (anteilig vor Eröffnung)</w:t>
            </w:r>
          </w:p>
        </w:tc>
        <w:tc>
          <w:tcPr>
            <w:tcW w:type="dxa" w:w="1512"/>
          </w:tcPr>
          <w:p>
            <w:r>
              <w:rPr>
                <w:rFonts w:ascii="Times New Roman" w:hAnsi="Times New Roman"/>
                <w:sz w:val="20"/>
              </w:rPr>
              <w:t>01.04.–30.04.2026</w:t>
            </w:r>
          </w:p>
        </w:tc>
        <w:tc>
          <w:tcPr>
            <w:tcW w:type="dxa" w:w="1512"/>
          </w:tcPr>
          <w:p>
            <w:r>
              <w:rPr>
                <w:rFonts w:ascii="Times New Roman" w:hAnsi="Times New Roman"/>
                <w:sz w:val="20"/>
              </w:rPr>
              <w:t>3.100,00</w:t>
            </w:r>
          </w:p>
        </w:tc>
        <w:tc>
          <w:tcPr>
            <w:tcW w:type="dxa" w:w="1512"/>
          </w:tcPr>
          <w:p>
            <w:r>
              <w:rPr>
                <w:rFonts w:ascii="Times New Roman" w:hAnsi="Times New Roman"/>
                <w:sz w:val="20"/>
              </w:rPr>
              <w:t>nein</w:t>
            </w:r>
          </w:p>
        </w:tc>
        <w:tc>
          <w:tcPr>
            <w:tcW w:type="dxa" w:w="1512"/>
          </w:tcPr>
          <w:p>
            <w:r>
              <w:rPr>
                <w:rFonts w:ascii="Times New Roman" w:hAnsi="Times New Roman"/>
                <w:sz w:val="20"/>
              </w:rPr>
              <w:t>Lohnabrechnung April (Anlage E2)</w:t>
            </w:r>
          </w:p>
        </w:tc>
      </w:tr>
      <w:tr>
        <w:tc>
          <w:tcPr>
            <w:tcW w:type="dxa" w:w="1512"/>
          </w:tcPr>
          <w:p>
            <w:r>
              <w:rPr>
                <w:rFonts w:ascii="Times New Roman" w:hAnsi="Times New Roman"/>
                <w:sz w:val="20"/>
              </w:rPr>
              <w:t>3</w:t>
            </w:r>
          </w:p>
        </w:tc>
        <w:tc>
          <w:tcPr>
            <w:tcW w:type="dxa" w:w="1512"/>
          </w:tcPr>
          <w:p>
            <w:r>
              <w:rPr>
                <w:rFonts w:ascii="Times New Roman" w:hAnsi="Times New Roman"/>
                <w:sz w:val="20"/>
              </w:rPr>
              <w:t>Schmerzensgeld wegen Körperverletzung</w:t>
            </w:r>
          </w:p>
        </w:tc>
        <w:tc>
          <w:tcPr>
            <w:tcW w:type="dxa" w:w="1512"/>
          </w:tcPr>
          <w:p>
            <w:r>
              <w:rPr>
                <w:rFonts w:ascii="Times New Roman" w:hAnsi="Times New Roman"/>
                <w:sz w:val="20"/>
              </w:rPr>
              <w:t>–</w:t>
            </w:r>
          </w:p>
        </w:tc>
        <w:tc>
          <w:tcPr>
            <w:tcW w:type="dxa" w:w="1512"/>
          </w:tcPr>
          <w:p>
            <w:r>
              <w:rPr>
                <w:rFonts w:ascii="Times New Roman" w:hAnsi="Times New Roman"/>
                <w:sz w:val="20"/>
              </w:rPr>
              <w:t>3.000,00</w:t>
            </w:r>
          </w:p>
        </w:tc>
        <w:tc>
          <w:tcPr>
            <w:tcW w:type="dxa" w:w="1512"/>
          </w:tcPr>
          <w:p>
            <w:r>
              <w:rPr>
                <w:rFonts w:ascii="Times New Roman" w:hAnsi="Times New Roman"/>
                <w:sz w:val="20"/>
              </w:rPr>
              <w:t>Ja (vbuH angekreuzt)</w:t>
            </w:r>
          </w:p>
        </w:tc>
        <w:tc>
          <w:tcPr>
            <w:tcW w:type="dxa" w:w="1512"/>
          </w:tcPr>
          <w:p>
            <w:r>
              <w:rPr>
                <w:rFonts w:ascii="Times New Roman" w:hAnsi="Times New Roman"/>
                <w:sz w:val="20"/>
              </w:rPr>
              <w:t>WhatsApp-Screenshot (Anlage E3)</w:t>
            </w:r>
          </w:p>
        </w:tc>
      </w:tr>
      <w:tr>
        <w:tc>
          <w:tcPr>
            <w:tcW w:type="dxa" w:w="1512"/>
          </w:tcPr>
          <w:p/>
        </w:tc>
        <w:tc>
          <w:tcPr>
            <w:tcW w:type="dxa" w:w="1512"/>
          </w:tcPr>
          <w:p>
            <w:r>
              <w:rPr>
                <w:rFonts w:ascii="Times New Roman" w:hAnsi="Times New Roman"/>
                <w:b/>
                <w:sz w:val="20"/>
              </w:rPr>
              <w:t>Gesamt angemeldet</w:t>
            </w:r>
          </w:p>
        </w:tc>
        <w:tc>
          <w:tcPr>
            <w:tcW w:type="dxa" w:w="1512"/>
          </w:tcPr>
          <w:p/>
        </w:tc>
        <w:tc>
          <w:tcPr>
            <w:tcW w:type="dxa" w:w="1512"/>
          </w:tcPr>
          <w:p>
            <w:r>
              <w:rPr>
                <w:rFonts w:ascii="Times New Roman" w:hAnsi="Times New Roman"/>
                <w:b/>
                <w:sz w:val="20"/>
              </w:rPr>
              <w:t>9.200,00</w:t>
            </w:r>
          </w:p>
        </w:tc>
        <w:tc>
          <w:tcPr>
            <w:tcW w:type="dxa" w:w="1512"/>
          </w:tcPr>
          <w:p/>
        </w:tc>
        <w:tc>
          <w:tcPr>
            <w:tcW w:type="dxa" w:w="1512"/>
          </w:tcPr>
          <w:p/>
        </w:tc>
      </w:tr>
    </w:tbl>
    <w:p>
      <w:pPr>
        <w:spacing w:line="259" w:lineRule="auto" w:after="60"/>
      </w:pPr>
    </w:p>
    <w:p>
      <w:pPr>
        <w:pStyle w:val="Heading2"/>
        <w:spacing w:line="259" w:lineRule="auto" w:after="60"/>
      </w:pPr>
      <w:r>
        <w:rPr>
          <w:rFonts w:ascii="Times New Roman" w:hAnsi="Times New Roman"/>
        </w:rPr>
        <w:t>II. Sachverhalt</w:t>
      </w:r>
    </w:p>
    <w:p>
      <w:pPr>
        <w:pStyle w:val="Heading3"/>
        <w:spacing w:line="259" w:lineRule="auto" w:after="60"/>
      </w:pPr>
      <w:r>
        <w:rPr>
          <w:rFonts w:ascii="Times New Roman" w:hAnsi="Times New Roman"/>
        </w:rPr>
        <w:t>Lohnforderungen März und April 2026</w:t>
      </w:r>
    </w:p>
    <w:p>
      <w:pPr>
        <w:spacing w:line="259" w:lineRule="auto" w:after="60"/>
        <w:jc w:val="left"/>
      </w:pPr>
      <w:r>
        <w:t>Lena Vogt war seit dem 1. September 2023 als Montageassistentin bei der Phoenix Solar Montage GmbH beschäftigt. Der monatliche Bruttolohn betrug gemäß Arbeitsvertrag (Anlage E4) 3.100,00 EUR. Sonderzahlungen, Überstundenregelungen und Urlaubsgeld waren nicht vereinbart.</w:t>
      </w:r>
    </w:p>
    <w:p>
      <w:pPr>
        <w:spacing w:line="259" w:lineRule="auto" w:after="60"/>
        <w:jc w:val="left"/>
      </w:pPr>
      <w:r>
        <w:t>Die Lohnzahlung für März 2026 (fällig am letzten Werktag des Monats, hier: 31. März 2026) unterblieb vollständig. Auf Anfragen der Arbeitnehmerin antwortete der Geschäftsführer Marcus Wendler laut WhatsApp-Nachricht vom 2. April 2026 (Anlage E3): "Das kommt alles noch, mach Dir keine Sorgen." Die Zahlung erfolgte nicht.</w:t>
      </w:r>
    </w:p>
    <w:p>
      <w:pPr>
        <w:spacing w:line="259" w:lineRule="auto" w:after="60"/>
        <w:jc w:val="left"/>
      </w:pPr>
      <w:r>
        <w:t>Die Lohnzahlung für April 2026 (fällig 30. April 2026) unterblieb ebenfalls. Das Arbeitsverhältnis bestand zum Eröffnungstag fort; der Insolvenzverwalter kündigte es mit Schreiben vom 6. Mai 2026 mit der gesetzlichen Frist (§ 113 InsO, § 622 BGB: 3 Wochen zum Monatsende), zum 31. Mai 2026.</w:t>
      </w:r>
    </w:p>
    <w:p>
      <w:pPr>
        <w:pStyle w:val="Heading3"/>
        <w:spacing w:line="259" w:lineRule="auto" w:after="60"/>
      </w:pPr>
      <w:r>
        <w:rPr>
          <w:rFonts w:ascii="Times New Roman" w:hAnsi="Times New Roman"/>
        </w:rPr>
        <w:t>Insolvenzgeld-Zeitraum</w:t>
      </w:r>
    </w:p>
    <w:p>
      <w:pPr>
        <w:spacing w:line="259" w:lineRule="auto" w:after="60"/>
        <w:jc w:val="left"/>
      </w:pPr>
      <w:r>
        <w:t>Gemäß § 165 SGB III umfasst der Insolvenzgeld-Zeitraum die letzten drei Monate vor dem Insolvenzereignis (Eröffnung: 30. April 2026). Der anspruchsrelevante Zeitraum beginnt damit am 30. Januar 2026. Die Löhne für März und April 2026 fallen vollständig in den Insolvenzgeld-Zeitraum.</w:t>
      </w:r>
    </w:p>
    <w:p>
      <w:pPr>
        <w:spacing w:line="259" w:lineRule="auto" w:after="60"/>
        <w:jc w:val="left"/>
      </w:pPr>
      <w:r>
        <w:t>Lena Vogt hat einen Antrag auf Insolvenzgeld bei der Bundesagentur für Arbeit, Agentur für Arbeit Potsdam, gestellt (Anlage E5). Sobald Insolvenzgeld ausgezahlt wird, geht der Lohnanspruch gemäß § 187 SGB III in Höhe des geleisteten Insolvenzgelds auf die Bundesagentur für Arbeit über. Lena Vogt kann danach nur noch den Teil des Lohnanspruchs selbst geltend machen, der das Insolvenzgeld übersteigt (Nettolohndifferenz soweit vorhanden, Urlaubsabgeltung etc.).</w:t>
      </w:r>
    </w:p>
    <w:p>
      <w:pPr>
        <w:spacing w:line="259" w:lineRule="auto" w:after="60"/>
        <w:jc w:val="left"/>
      </w:pPr>
      <w:r>
        <w:rPr>
          <w:b/>
        </w:rPr>
        <w:t>Konsequenz für die Forderungsanmeldung:</w:t>
      </w:r>
      <w:r>
        <w:t xml:space="preserve"> Die Lohnforderungen März und April 2026 (je 3.100,00 EUR brutto) sind dem Grunde nach anerkennungsfähig. Die Forderungsanmeldung ist jedoch zunächst nur vorsorglich zuzulassen, bis der Insolvenzgeld-Übergang abgeklärt ist. Die Bundesagentur für Arbeit wird eine eigene Forderungsanmeldung einreichen. Es droht sonst eine Doppelanmeldung.</w:t>
      </w:r>
    </w:p>
    <w:p>
      <w:pPr>
        <w:pStyle w:val="Heading3"/>
        <w:spacing w:line="259" w:lineRule="auto" w:after="60"/>
      </w:pPr>
      <w:r>
        <w:rPr>
          <w:rFonts w:ascii="Times New Roman" w:hAnsi="Times New Roman"/>
        </w:rPr>
        <w:t>Schmerzensgeld – vbuH-Behauptung</w:t>
      </w:r>
    </w:p>
    <w:p>
      <w:pPr>
        <w:spacing w:line="259" w:lineRule="auto" w:after="60"/>
        <w:jc w:val="left"/>
      </w:pPr>
      <w:r>
        <w:t>Lena Vogt hat auf dem Forderungsanmeldeformular unter der Rubrik "besonderer Rechtsgrund" das Kästchen "Verbindlichkeiten aus einer vorsätzlich begangenen unerlaubten Handlung (§ 302 Nr. 1 InsO)" angekreuzt. Sie hat dazu handschriftlich vermerkt: "Geschäftsführer hat uns alle betrogen. Ich habe durch seinen Stress meinen Arm verletzt."</w:t>
      </w:r>
    </w:p>
    <w:p>
      <w:pPr>
        <w:spacing w:line="259" w:lineRule="auto" w:after="60"/>
        <w:jc w:val="left"/>
      </w:pPr>
      <w:r>
        <w:t>Beigefügt waren:</w:t>
      </w:r>
    </w:p>
    <w:p>
      <w:pPr>
        <w:pStyle w:val="ListBullet"/>
        <w:spacing w:line="259" w:lineRule="auto" w:after="60"/>
      </w:pPr>
      <w:r>
        <w:t>WhatsApp-Nachricht vom 2. April 2026 (Anlage E3),</w:t>
      </w:r>
    </w:p>
    <w:p>
      <w:pPr>
        <w:pStyle w:val="ListBullet"/>
        <w:spacing w:line="259" w:lineRule="auto" w:after="60"/>
      </w:pPr>
      <w:r>
        <w:t>Lohnabrechnungen März und April 2026 (Anlagen E1, E2),</w:t>
      </w:r>
    </w:p>
    <w:p>
      <w:pPr>
        <w:pStyle w:val="ListBullet"/>
        <w:spacing w:line="259" w:lineRule="auto" w:after="60"/>
      </w:pPr>
      <w:r>
        <w:t>Arbeitsvertrag (Anlage E4).</w:t>
      </w:r>
    </w:p>
    <w:p>
      <w:pPr>
        <w:spacing w:line="259" w:lineRule="auto" w:after="60"/>
        <w:jc w:val="left"/>
      </w:pPr>
      <w:r>
        <w:t xml:space="preserve">Für eine </w:t>
      </w:r>
      <w:r>
        <w:rPr>
          <w:b/>
        </w:rPr>
        <w:t>schlüssige Darlegung einer vorsätzlichen unerlaubten Handlung</w:t>
      </w:r>
      <w:r>
        <w:t xml:space="preserve"> wäre erforderlich:</w:t>
      </w:r>
    </w:p>
    <w:p>
      <w:pPr>
        <w:pStyle w:val="ListNumber"/>
        <w:spacing w:line="259" w:lineRule="auto" w:after="60"/>
      </w:pPr>
      <w:r>
        <w:t>Konkreter Lebenssachverhalt, der eine Körperverletzung oder eine andere Deliktshandlung des Schuldners (Geschäftsführers) beschreibt (Ort, Zeit, Handlung, Täter);</w:t>
      </w:r>
    </w:p>
    <w:p>
      <w:pPr>
        <w:pStyle w:val="ListNumber"/>
        <w:spacing w:line="259" w:lineRule="auto" w:after="60"/>
      </w:pPr>
      <w:r>
        <w:t>Kausalzusammenhang zwischen der Handlung und dem Schaden (Verletzung);</w:t>
      </w:r>
    </w:p>
    <w:p>
      <w:pPr>
        <w:pStyle w:val="ListNumber"/>
        <w:spacing w:line="259" w:lineRule="auto" w:after="60"/>
      </w:pPr>
      <w:r>
        <w:t>Bezifferung des Schadens (Arztkosten, Behandlungskosten, Schmerzensgeld-Bemessung);</w:t>
      </w:r>
    </w:p>
    <w:p>
      <w:pPr>
        <w:pStyle w:val="ListNumber"/>
        <w:spacing w:line="259" w:lineRule="auto" w:after="60"/>
      </w:pPr>
      <w:r>
        <w:t>Belege: Arztberichte, ärztliches Attest, Krankenhausrechnung.</w:t>
      </w:r>
    </w:p>
    <w:p>
      <w:pPr>
        <w:spacing w:line="259" w:lineRule="auto" w:after="60"/>
        <w:jc w:val="left"/>
      </w:pPr>
      <w:r>
        <w:t xml:space="preserve">Diese Voraussetzungen sind </w:t>
      </w:r>
      <w:r>
        <w:rPr>
          <w:b/>
        </w:rPr>
        <w:t>nicht erfüllt</w:t>
      </w:r>
      <w:r>
        <w:t>. Die bisherige Darstellung genügt nicht, um auch nur dem Grunde nach eine deliktische Handlung festzustellen. Der Insolvenzverwalter wird die Arbeitnehmerin auffordern, die Tatsachengrundlage für das Schmerzensgeld und den besonderen Rechtsgrund zu konkretisieren (Nachforderungsschreiben, Dokument 13).</w:t>
      </w:r>
    </w:p>
    <w:p>
      <w:pPr>
        <w:spacing w:line="259" w:lineRule="auto" w:after="60"/>
      </w:pPr>
    </w:p>
    <w:p>
      <w:pPr>
        <w:pStyle w:val="Heading2"/>
        <w:spacing w:line="259" w:lineRule="auto" w:after="60"/>
      </w:pPr>
      <w:r>
        <w:rPr>
          <w:rFonts w:ascii="Times New Roman" w:hAnsi="Times New Roman"/>
        </w:rPr>
        <w:t>III. Widerspruch Schuldner und Prüfungsbefund</w:t>
      </w:r>
    </w:p>
    <w:p>
      <w:pPr>
        <w:pStyle w:val="Heading3"/>
        <w:spacing w:line="259" w:lineRule="auto" w:after="60"/>
      </w:pPr>
      <w:r>
        <w:rPr>
          <w:rFonts w:ascii="Times New Roman" w:hAnsi="Times New Roman"/>
        </w:rPr>
        <w:t>Prüfungsbefund Insolvenzverwalter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Position</w:t>
            </w:r>
          </w:p>
        </w:tc>
        <w:tc>
          <w:tcPr>
            <w:tcW w:type="dxa" w:w="1814"/>
          </w:tcPr>
          <w:p>
            <w:r>
              <w:rPr>
                <w:rFonts w:ascii="Times New Roman" w:hAnsi="Times New Roman"/>
                <w:b/>
                <w:sz w:val="20"/>
              </w:rPr>
              <w:t>Angemeldet (EUR)</w:t>
            </w:r>
          </w:p>
        </w:tc>
        <w:tc>
          <w:tcPr>
            <w:tcW w:type="dxa" w:w="1814"/>
          </w:tcPr>
          <w:p>
            <w:r>
              <w:rPr>
                <w:rFonts w:ascii="Times New Roman" w:hAnsi="Times New Roman"/>
                <w:b/>
                <w:sz w:val="20"/>
              </w:rPr>
              <w:t>Vorschlag Feststellung (EUR)</w:t>
            </w:r>
          </w:p>
        </w:tc>
        <w:tc>
          <w:tcPr>
            <w:tcW w:type="dxa" w:w="1814"/>
          </w:tcPr>
          <w:p>
            <w:r>
              <w:rPr>
                <w:rFonts w:ascii="Times New Roman" w:hAnsi="Times New Roman"/>
                <w:b/>
                <w:sz w:val="20"/>
              </w:rPr>
              <w:t>Bestreiten (EUR)</w:t>
            </w:r>
          </w:p>
        </w:tc>
        <w:tc>
          <w:tcPr>
            <w:tcW w:type="dxa" w:w="1814"/>
          </w:tcPr>
          <w:p>
            <w:r>
              <w:rPr>
                <w:rFonts w:ascii="Times New Roman" w:hAnsi="Times New Roman"/>
                <w:b/>
                <w:sz w:val="20"/>
              </w:rPr>
              <w:t>Anmerkung</w:t>
            </w:r>
          </w:p>
        </w:tc>
      </w:tr>
      <w:tr>
        <w:tc>
          <w:tcPr>
            <w:tcW w:type="dxa" w:w="1814"/>
          </w:tcPr>
          <w:p>
            <w:r>
              <w:rPr>
                <w:rFonts w:ascii="Times New Roman" w:hAnsi="Times New Roman"/>
                <w:sz w:val="20"/>
              </w:rPr>
              <w:t>Bruttolohn März 2026</w:t>
            </w:r>
          </w:p>
        </w:tc>
        <w:tc>
          <w:tcPr>
            <w:tcW w:type="dxa" w:w="1814"/>
          </w:tcPr>
          <w:p>
            <w:r>
              <w:rPr>
                <w:rFonts w:ascii="Times New Roman" w:hAnsi="Times New Roman"/>
                <w:sz w:val="20"/>
              </w:rPr>
              <w:t>3.100,00</w:t>
            </w:r>
          </w:p>
        </w:tc>
        <w:tc>
          <w:tcPr>
            <w:tcW w:type="dxa" w:w="1814"/>
          </w:tcPr>
          <w:p>
            <w:r>
              <w:rPr>
                <w:rFonts w:ascii="Times New Roman" w:hAnsi="Times New Roman"/>
                <w:sz w:val="20"/>
              </w:rPr>
              <w:t>3.100,00</w:t>
            </w:r>
          </w:p>
        </w:tc>
        <w:tc>
          <w:tcPr>
            <w:tcW w:type="dxa" w:w="1814"/>
          </w:tcPr>
          <w:p>
            <w:r>
              <w:rPr>
                <w:rFonts w:ascii="Times New Roman" w:hAnsi="Times New Roman"/>
                <w:sz w:val="20"/>
              </w:rPr>
              <w:t>0,00</w:t>
            </w:r>
          </w:p>
        </w:tc>
        <w:tc>
          <w:tcPr>
            <w:tcW w:type="dxa" w:w="1814"/>
          </w:tcPr>
          <w:p>
            <w:r>
              <w:rPr>
                <w:rFonts w:ascii="Times New Roman" w:hAnsi="Times New Roman"/>
                <w:sz w:val="20"/>
              </w:rPr>
              <w:t>§ 38 InsO; Insolvenzgeld-Übergang prüfen</w:t>
            </w:r>
          </w:p>
        </w:tc>
      </w:tr>
      <w:tr>
        <w:tc>
          <w:tcPr>
            <w:tcW w:type="dxa" w:w="1814"/>
          </w:tcPr>
          <w:p>
            <w:r>
              <w:rPr>
                <w:rFonts w:ascii="Times New Roman" w:hAnsi="Times New Roman"/>
                <w:sz w:val="20"/>
              </w:rPr>
              <w:t>Bruttolohn April 2026 (gesamt)</w:t>
            </w:r>
          </w:p>
        </w:tc>
        <w:tc>
          <w:tcPr>
            <w:tcW w:type="dxa" w:w="1814"/>
          </w:tcPr>
          <w:p>
            <w:r>
              <w:rPr>
                <w:rFonts w:ascii="Times New Roman" w:hAnsi="Times New Roman"/>
                <w:sz w:val="20"/>
              </w:rPr>
              <w:t>3.100,00</w:t>
            </w:r>
          </w:p>
        </w:tc>
        <w:tc>
          <w:tcPr>
            <w:tcW w:type="dxa" w:w="1814"/>
          </w:tcPr>
          <w:p>
            <w:r>
              <w:rPr>
                <w:rFonts w:ascii="Times New Roman" w:hAnsi="Times New Roman"/>
                <w:sz w:val="20"/>
              </w:rPr>
              <w:t>3.100,00</w:t>
            </w:r>
          </w:p>
        </w:tc>
        <w:tc>
          <w:tcPr>
            <w:tcW w:type="dxa" w:w="1814"/>
          </w:tcPr>
          <w:p>
            <w:r>
              <w:rPr>
                <w:rFonts w:ascii="Times New Roman" w:hAnsi="Times New Roman"/>
                <w:sz w:val="20"/>
              </w:rPr>
              <w:t>0,00</w:t>
            </w:r>
          </w:p>
        </w:tc>
        <w:tc>
          <w:tcPr>
            <w:tcW w:type="dxa" w:w="1814"/>
          </w:tcPr>
          <w:p>
            <w:r>
              <w:rPr>
                <w:rFonts w:ascii="Times New Roman" w:hAnsi="Times New Roman"/>
                <w:sz w:val="20"/>
              </w:rPr>
              <w:t>§ 38 InsO; anteilig nach Eröffnung ggf. Masse</w:t>
            </w:r>
          </w:p>
        </w:tc>
      </w:tr>
      <w:tr>
        <w:tc>
          <w:tcPr>
            <w:tcW w:type="dxa" w:w="1814"/>
          </w:tcPr>
          <w:p>
            <w:r>
              <w:rPr>
                <w:rFonts w:ascii="Times New Roman" w:hAnsi="Times New Roman"/>
                <w:sz w:val="20"/>
              </w:rPr>
              <w:t>Schmerzensgeld / vbuH</w:t>
            </w:r>
          </w:p>
        </w:tc>
        <w:tc>
          <w:tcPr>
            <w:tcW w:type="dxa" w:w="1814"/>
          </w:tcPr>
          <w:p>
            <w:r>
              <w:rPr>
                <w:rFonts w:ascii="Times New Roman" w:hAnsi="Times New Roman"/>
                <w:sz w:val="20"/>
              </w:rPr>
              <w:t>3.000,00</w:t>
            </w:r>
          </w:p>
        </w:tc>
        <w:tc>
          <w:tcPr>
            <w:tcW w:type="dxa" w:w="1814"/>
          </w:tcPr>
          <w:p>
            <w:r>
              <w:rPr>
                <w:rFonts w:ascii="Times New Roman" w:hAnsi="Times New Roman"/>
                <w:sz w:val="20"/>
              </w:rPr>
              <w:t>0,00</w:t>
            </w:r>
          </w:p>
        </w:tc>
        <w:tc>
          <w:tcPr>
            <w:tcW w:type="dxa" w:w="1814"/>
          </w:tcPr>
          <w:p>
            <w:r>
              <w:rPr>
                <w:rFonts w:ascii="Times New Roman" w:hAnsi="Times New Roman"/>
                <w:sz w:val="20"/>
              </w:rPr>
              <w:t>3.000,00</w:t>
            </w:r>
          </w:p>
        </w:tc>
        <w:tc>
          <w:tcPr>
            <w:tcW w:type="dxa" w:w="1814"/>
          </w:tcPr>
          <w:p>
            <w:r>
              <w:rPr>
                <w:rFonts w:ascii="Times New Roman" w:hAnsi="Times New Roman"/>
                <w:sz w:val="20"/>
              </w:rPr>
              <w:t>ohne Tatsachenbasis</w:t>
            </w:r>
          </w:p>
        </w:tc>
      </w:tr>
      <w:tr>
        <w:tc>
          <w:tcPr>
            <w:tcW w:type="dxa" w:w="1814"/>
          </w:tcPr>
          <w:p>
            <w:r>
              <w:rPr>
                <w:rFonts w:ascii="Times New Roman" w:hAnsi="Times New Roman"/>
                <w:b/>
                <w:sz w:val="20"/>
              </w:rPr>
              <w:t>Gesamt</w:t>
            </w:r>
          </w:p>
        </w:tc>
        <w:tc>
          <w:tcPr>
            <w:tcW w:type="dxa" w:w="1814"/>
          </w:tcPr>
          <w:p>
            <w:r>
              <w:rPr>
                <w:rFonts w:ascii="Times New Roman" w:hAnsi="Times New Roman"/>
                <w:b/>
                <w:sz w:val="20"/>
              </w:rPr>
              <w:t>9.200,00</w:t>
            </w:r>
          </w:p>
        </w:tc>
        <w:tc>
          <w:tcPr>
            <w:tcW w:type="dxa" w:w="1814"/>
          </w:tcPr>
          <w:p>
            <w:r>
              <w:rPr>
                <w:rFonts w:ascii="Times New Roman" w:hAnsi="Times New Roman"/>
                <w:b/>
                <w:sz w:val="20"/>
              </w:rPr>
              <w:t>6.200,00</w:t>
            </w:r>
          </w:p>
        </w:tc>
        <w:tc>
          <w:tcPr>
            <w:tcW w:type="dxa" w:w="1814"/>
          </w:tcPr>
          <w:p>
            <w:r>
              <w:rPr>
                <w:rFonts w:ascii="Times New Roman" w:hAnsi="Times New Roman"/>
                <w:b/>
                <w:sz w:val="20"/>
              </w:rPr>
              <w:t>3.000,00</w:t>
            </w:r>
          </w:p>
        </w:tc>
        <w:tc>
          <w:tcPr>
            <w:tcW w:type="dxa" w:w="1814"/>
          </w:tcPr>
          <w:p/>
        </w:tc>
      </w:tr>
    </w:tbl>
    <w:p>
      <w:pPr>
        <w:pStyle w:val="Heading3"/>
        <w:spacing w:line="259" w:lineRule="auto" w:after="60"/>
      </w:pPr>
      <w:r>
        <w:rPr>
          <w:rFonts w:ascii="Times New Roman" w:hAnsi="Times New Roman"/>
        </w:rPr>
        <w:t>Widerspruch des Schuldners im Prüfungstermin</w:t>
      </w:r>
    </w:p>
    <w:p>
      <w:pPr>
        <w:spacing w:line="259" w:lineRule="auto" w:after="60"/>
        <w:jc w:val="left"/>
      </w:pPr>
      <w:r>
        <w:t xml:space="preserve">Im Prüfungstermin am 25. Juni 2026 erhob der Geschäftsführer Marcus Wendler (als Schuldnervertreter) </w:t>
      </w:r>
      <w:r>
        <w:rPr>
          <w:b/>
        </w:rPr>
        <w:t>Widerspruch</w:t>
      </w:r>
      <w:r>
        <w:t xml:space="preserve"> gegen den Lohnanspruch April 2026 mit der Begründung, Frau Vogt habe in den letzten beiden Wochen des April 2026 "ohne Genehmigung" gefehlt und daher keinen Lohnanspruch. Ein Nachweis (z. B. Krankmeldung, Gehaltsabzug) wurde nicht vorgelegt.</w:t>
      </w:r>
    </w:p>
    <w:p>
      <w:pPr>
        <w:spacing w:line="259" w:lineRule="auto" w:after="60"/>
        <w:jc w:val="left"/>
      </w:pPr>
      <w:r>
        <w:t>Der Insolvenzverwalter hat dem Widerspruch gegen den März-Lohn (3.100,00 EUR) nicht widersprochen; diese Position wird als unstreitig festgestellt.</w:t>
      </w:r>
    </w:p>
    <w:p>
      <w:pPr>
        <w:spacing w:line="259" w:lineRule="auto" w:after="60"/>
        <w:jc w:val="left"/>
      </w:pPr>
      <w:r>
        <w:t>Der Widerspruch gegen den April-Lohn ist im Prüfungsprotokoll vermerkt. Da kein Vollstreckungstitel der Arbeitnehmerin vorliegt, obläge ihr im Falle des Bestehens des Widerspruchs eine Feststellungsklage gegen den Schuldner gemäß § 184 InsO.</w:t>
      </w:r>
    </w:p>
    <w:p>
      <w:pPr>
        <w:spacing w:line="259" w:lineRule="auto" w:after="60"/>
      </w:pPr>
    </w:p>
    <w:p>
      <w:pPr>
        <w:pStyle w:val="Heading2"/>
        <w:spacing w:line="259" w:lineRule="auto" w:after="60"/>
      </w:pPr>
      <w:r>
        <w:rPr>
          <w:rFonts w:ascii="Times New Roman" w:hAnsi="Times New Roman"/>
        </w:rPr>
        <w:t>IV. Rangverhältnis</w:t>
      </w:r>
    </w:p>
    <w:p>
      <w:pPr>
        <w:pStyle w:val="ListBullet"/>
        <w:spacing w:line="259" w:lineRule="auto" w:after="60"/>
      </w:pPr>
      <w:r>
        <w:t>Lohnforderungen: § 38 InsO (einfache Insolvenzforderungen), kein Vorrecht.</w:t>
      </w:r>
    </w:p>
    <w:p>
      <w:pPr>
        <w:pStyle w:val="ListBullet"/>
        <w:spacing w:line="259" w:lineRule="auto" w:after="60"/>
      </w:pPr>
      <w:r>
        <w:t>Soweit Insolvenzgeld gewährt wird: Forderungsübergang auf Bundesagentur für Arbeit (§ 187 SGB III), die dann als Insolvenzgläubigerin auftritt.</w:t>
      </w:r>
    </w:p>
    <w:p>
      <w:pPr>
        <w:pStyle w:val="ListBullet"/>
        <w:spacing w:line="259" w:lineRule="auto" w:after="60"/>
      </w:pPr>
      <w:r>
        <w:t>Schmerzensgeld ohne besonderen Rechtsgrund: § 38 InsO.</w:t>
      </w:r>
    </w:p>
    <w:p>
      <w:pPr>
        <w:pStyle w:val="ListBullet"/>
        <w:spacing w:line="259" w:lineRule="auto" w:after="60"/>
      </w:pPr>
      <w:r>
        <w:t xml:space="preserve">Schmerzensgeld </w:t>
      </w:r>
      <w:r>
        <w:rPr>
          <w:b/>
        </w:rPr>
        <w:t>mit</w:t>
      </w:r>
      <w:r>
        <w:t xml:space="preserve"> besonderem Rechtsgrund (§ 302 Nr. 1 InsO): wäre von der Restschuldbefreiung ausgenommen, aber nur wenn Tatbestand schlüssig dargelegt und festgestellt.</w:t>
      </w:r>
    </w:p>
    <w:p>
      <w:pPr>
        <w:spacing w:line="259" w:lineRule="auto" w:after="60"/>
      </w:pPr>
    </w:p>
    <w:p>
      <w:pPr>
        <w:pStyle w:val="Heading2"/>
        <w:spacing w:line="259" w:lineRule="auto" w:after="60"/>
      </w:pPr>
      <w:r>
        <w:rPr>
          <w:rFonts w:ascii="Times New Roman" w:hAnsi="Times New Roman"/>
        </w:rPr>
        <w:t>V. Weiteres Vorgehen</w:t>
      </w:r>
    </w:p>
    <w:p>
      <w:pPr>
        <w:pStyle w:val="ListNumber"/>
        <w:spacing w:line="259" w:lineRule="auto" w:after="60"/>
      </w:pPr>
      <w:r>
        <w:t>Nachforderungsschreiben an Lena Vogt wegen Schmerzensgeld und vbuH-Tatsachenbasis (Dokument 13).</w:t>
      </w:r>
    </w:p>
    <w:p>
      <w:pPr>
        <w:pStyle w:val="ListNumber"/>
        <w:spacing w:line="259" w:lineRule="auto" w:after="60"/>
      </w:pPr>
      <w:r>
        <w:t>Abstimmung mit Bundesagentur für Arbeit über Insolvenzgeld-Bescheinigung.</w:t>
      </w:r>
    </w:p>
    <w:p>
      <w:pPr>
        <w:pStyle w:val="ListNumber"/>
        <w:spacing w:line="259" w:lineRule="auto" w:after="60"/>
      </w:pPr>
      <w:r>
        <w:t>Klärung April-Widerspruch des Schuldners; ggf. Hinweis an Lena Vogt auf Feststellungsklage § 184 InsO (Frist: 12 Wochen ab Prüfungstermin = 17. September 2026).</w:t>
      </w:r>
    </w:p>
    <w:p>
      <w:pPr>
        <w:spacing w:line="259" w:lineRule="auto" w:after="60"/>
      </w:pPr>
    </w:p>
    <w:p>
      <w:pPr>
        <w:pStyle w:val="Heading2"/>
        <w:spacing w:line="259" w:lineRule="auto" w:after="60"/>
      </w:pPr>
      <w:r>
        <w:rPr>
          <w:rFonts w:ascii="Times New Roman" w:hAnsi="Times New Roman"/>
        </w:rPr>
        <w:t>Anlagen</w:t>
      </w:r>
    </w:p>
    <w:p>
      <w:pPr>
        <w:pStyle w:val="ListBullet"/>
        <w:spacing w:line="259" w:lineRule="auto" w:after="60"/>
      </w:pPr>
      <w:r>
        <w:rPr>
          <w:b/>
        </w:rPr>
        <w:t>E1:</w:t>
      </w:r>
      <w:r>
        <w:t xml:space="preserve"> Lohnabrechnung März 2026</w:t>
      </w:r>
    </w:p>
    <w:p>
      <w:pPr>
        <w:pStyle w:val="ListBullet"/>
        <w:spacing w:line="259" w:lineRule="auto" w:after="60"/>
      </w:pPr>
      <w:r>
        <w:rPr>
          <w:b/>
        </w:rPr>
        <w:t>E2:</w:t>
      </w:r>
      <w:r>
        <w:t xml:space="preserve"> Lohnabrechnung April 2026</w:t>
      </w:r>
    </w:p>
    <w:p>
      <w:pPr>
        <w:pStyle w:val="ListBullet"/>
        <w:spacing w:line="259" w:lineRule="auto" w:after="60"/>
      </w:pPr>
      <w:r>
        <w:rPr>
          <w:b/>
        </w:rPr>
        <w:t>E3:</w:t>
      </w:r>
      <w:r>
        <w:t xml:space="preserve"> WhatsApp-Screenshot (Nachricht GF Wendler, 2. April 2026)</w:t>
      </w:r>
    </w:p>
    <w:p>
      <w:pPr>
        <w:pStyle w:val="ListBullet"/>
        <w:spacing w:line="259" w:lineRule="auto" w:after="60"/>
      </w:pPr>
      <w:r>
        <w:rPr>
          <w:b/>
        </w:rPr>
        <w:t>E4:</w:t>
      </w:r>
      <w:r>
        <w:t xml:space="preserve"> Arbeitsvertrag vom 01.09.2023</w:t>
      </w:r>
    </w:p>
    <w:p>
      <w:pPr>
        <w:pStyle w:val="ListBullet"/>
        <w:spacing w:line="259" w:lineRule="auto" w:after="60"/>
      </w:pPr>
      <w:r>
        <w:rPr>
          <w:b/>
        </w:rPr>
        <w:t>E5:</w:t>
      </w:r>
      <w:r>
        <w:t xml:space="preserve"> Antrag auf Insolvenzgeld (Formular, gestellt 15. Mai 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