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Unternehmensprofil – Metallbau Hansa GmbH</w:t>
      </w:r>
    </w:p>
    <w:p>
      <w:pPr>
        <w:spacing w:before="120" w:after="60" w:line="259" w:lineRule="auto"/>
        <w:jc w:val="left"/>
      </w:pPr>
      <w:r>
        <w:rPr>
          <w:rFonts w:ascii="Times New Roman" w:hAnsi="Times New Roman"/>
          <w:b w:val="0"/>
          <w:i w:val="0"/>
          <w:sz w:val="22"/>
        </w:rPr>
        <w:t>Aktenzeichen:</w:t>
      </w:r>
      <w:r>
        <w:rPr>
          <w:rFonts w:ascii="Times New Roman" w:hAnsi="Times New Roman"/>
          <w:b w:val="0"/>
          <w:i w:val="0"/>
          <w:sz w:val="22"/>
        </w:rPr>
        <w:t xml:space="preserve"> MH-2026-001</w:t>
      </w:r>
    </w:p>
    <w:p>
      <w:pPr>
        <w:spacing w:before="120" w:after="60" w:line="259" w:lineRule="auto"/>
        <w:jc w:val="left"/>
      </w:pPr>
      <w:r>
        <w:rPr>
          <w:rFonts w:ascii="Times New Roman" w:hAnsi="Times New Roman"/>
          <w:b/>
          <w:sz w:val="22"/>
        </w:rPr>
        <w:t>Stand:</w:t>
      </w:r>
      <w:r>
        <w:rPr>
          <w:rFonts w:ascii="Times New Roman" w:hAnsi="Times New Roman"/>
          <w:b/>
          <w:sz w:val="22"/>
        </w:rPr>
        <w:t xml:space="preserve"> 14. Mai 2026</w:t>
      </w:r>
    </w:p>
    <w:p>
      <w:pPr>
        <w:spacing w:before="120" w:after="60" w:line="259" w:lineRule="auto"/>
        <w:jc w:val="left"/>
      </w:pPr>
      <w:r>
        <w:rPr>
          <w:rFonts w:ascii="Times New Roman" w:hAnsi="Times New Roman"/>
          <w:b/>
          <w:sz w:val="22"/>
        </w:rPr>
        <w:t>Erstellt von:</w:t>
      </w:r>
      <w:r>
        <w:rPr>
          <w:rFonts w:ascii="Times New Roman" w:hAnsi="Times New Roman"/>
          <w:b/>
          <w:sz w:val="22"/>
        </w:rPr>
        <w:t xml:space="preserve"> CFO Björn Hollender, zusammengefasst durch RA Dr. K. Westphal</w:t>
      </w:r>
    </w:p>
    <w:p>
      <w:pPr>
        <w:spacing w:line="259" w:lineRule="auto" w:after="60"/>
      </w:pPr>
    </w:p>
    <w:p>
      <w:pPr>
        <w:pStyle w:val="Heading2"/>
        <w:spacing w:before="120" w:after="60" w:line="259" w:lineRule="auto"/>
      </w:pPr>
      <w:r>
        <w:rPr>
          <w:rFonts w:ascii="Times New Roman" w:hAnsi="Times New Roman"/>
          <w:b/>
          <w:sz w:val="22"/>
        </w:rPr>
        <w:t>1. Stammdaten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Merkmal</w:t>
            </w:r>
          </w:p>
        </w:tc>
        <w:tc>
          <w:tcPr>
            <w:tcW w:type="dxa" w:w="4536"/>
          </w:tcPr>
          <w:p>
            <w:r>
              <w:rPr>
                <w:rFonts w:ascii="Times New Roman" w:hAnsi="Times New Roman"/>
                <w:b/>
                <w:sz w:val="20"/>
              </w:rPr>
              <w:t>Angabe</w:t>
            </w:r>
          </w:p>
        </w:tc>
      </w:tr>
      <w:tr>
        <w:tc>
          <w:tcPr>
            <w:tcW w:type="dxa" w:w="4536"/>
          </w:tcPr>
          <w:p>
            <w:r>
              <w:rPr>
                <w:rFonts w:ascii="Times New Roman" w:hAnsi="Times New Roman"/>
                <w:sz w:val="20"/>
              </w:rPr>
              <w:t>Firma</w:t>
            </w:r>
          </w:p>
        </w:tc>
        <w:tc>
          <w:tcPr>
            <w:tcW w:type="dxa" w:w="4536"/>
          </w:tcPr>
          <w:p>
            <w:r>
              <w:rPr>
                <w:rFonts w:ascii="Times New Roman" w:hAnsi="Times New Roman"/>
                <w:sz w:val="20"/>
              </w:rPr>
              <w:t>Metallbau Hansa GmbH</w:t>
            </w:r>
          </w:p>
        </w:tc>
      </w:tr>
      <w:tr>
        <w:tc>
          <w:tcPr>
            <w:tcW w:type="dxa" w:w="4536"/>
          </w:tcPr>
          <w:p>
            <w:r>
              <w:rPr>
                <w:rFonts w:ascii="Times New Roman" w:hAnsi="Times New Roman"/>
                <w:sz w:val="20"/>
              </w:rPr>
              <w:t>Handelsregister</w:t>
            </w:r>
          </w:p>
        </w:tc>
        <w:tc>
          <w:tcPr>
            <w:tcW w:type="dxa" w:w="4536"/>
          </w:tcPr>
          <w:p>
            <w:r>
              <w:rPr>
                <w:rFonts w:ascii="Times New Roman" w:hAnsi="Times New Roman"/>
                <w:sz w:val="20"/>
              </w:rPr>
              <w:t>HRB 142 387, Amtsgericht Hamburg</w:t>
            </w:r>
          </w:p>
        </w:tc>
      </w:tr>
      <w:tr>
        <w:tc>
          <w:tcPr>
            <w:tcW w:type="dxa" w:w="4536"/>
          </w:tcPr>
          <w:p>
            <w:r>
              <w:rPr>
                <w:rFonts w:ascii="Times New Roman" w:hAnsi="Times New Roman"/>
                <w:sz w:val="20"/>
              </w:rPr>
              <w:t>Sitz</w:t>
            </w:r>
          </w:p>
        </w:tc>
        <w:tc>
          <w:tcPr>
            <w:tcW w:type="dxa" w:w="4536"/>
          </w:tcPr>
          <w:p>
            <w:r>
              <w:rPr>
                <w:rFonts w:ascii="Times New Roman" w:hAnsi="Times New Roman"/>
                <w:sz w:val="20"/>
              </w:rPr>
              <w:t>Billbrookdeich 127, 22113 Hamburg</w:t>
            </w:r>
          </w:p>
        </w:tc>
      </w:tr>
      <w:tr>
        <w:tc>
          <w:tcPr>
            <w:tcW w:type="dxa" w:w="4536"/>
          </w:tcPr>
          <w:p>
            <w:r>
              <w:rPr>
                <w:rFonts w:ascii="Times New Roman" w:hAnsi="Times New Roman"/>
                <w:sz w:val="20"/>
              </w:rPr>
              <w:t>Gründung</w:t>
            </w:r>
          </w:p>
        </w:tc>
        <w:tc>
          <w:tcPr>
            <w:tcW w:type="dxa" w:w="4536"/>
          </w:tcPr>
          <w:p>
            <w:r>
              <w:rPr>
                <w:rFonts w:ascii="Times New Roman" w:hAnsi="Times New Roman"/>
                <w:sz w:val="20"/>
              </w:rPr>
              <w:t>14. März 2003</w:t>
            </w:r>
          </w:p>
        </w:tc>
      </w:tr>
      <w:tr>
        <w:tc>
          <w:tcPr>
            <w:tcW w:type="dxa" w:w="4536"/>
          </w:tcPr>
          <w:p>
            <w:r>
              <w:rPr>
                <w:rFonts w:ascii="Times New Roman" w:hAnsi="Times New Roman"/>
                <w:sz w:val="20"/>
              </w:rPr>
              <w:t>Stammkapital</w:t>
            </w:r>
          </w:p>
        </w:tc>
        <w:tc>
          <w:tcPr>
            <w:tcW w:type="dxa" w:w="4536"/>
          </w:tcPr>
          <w:p>
            <w:r>
              <w:rPr>
                <w:rFonts w:ascii="Times New Roman" w:hAnsi="Times New Roman"/>
                <w:sz w:val="20"/>
              </w:rPr>
              <w:t>100.000 Euro (voll eingezahlt)</w:t>
            </w:r>
          </w:p>
        </w:tc>
      </w:tr>
      <w:tr>
        <w:tc>
          <w:tcPr>
            <w:tcW w:type="dxa" w:w="4536"/>
          </w:tcPr>
          <w:p>
            <w:r>
              <w:rPr>
                <w:rFonts w:ascii="Times New Roman" w:hAnsi="Times New Roman"/>
                <w:sz w:val="20"/>
              </w:rPr>
              <w:t>Gesellschafterin</w:t>
            </w:r>
          </w:p>
        </w:tc>
        <w:tc>
          <w:tcPr>
            <w:tcW w:type="dxa" w:w="4536"/>
          </w:tcPr>
          <w:p>
            <w:r>
              <w:rPr>
                <w:rFonts w:ascii="Times New Roman" w:hAnsi="Times New Roman"/>
                <w:sz w:val="20"/>
              </w:rPr>
              <w:t>Hansa Beteiligungs UG (haftungsbeschränkt), HRB 189 044 AG Hamburg</w:t>
            </w:r>
          </w:p>
        </w:tc>
      </w:tr>
      <w:tr>
        <w:tc>
          <w:tcPr>
            <w:tcW w:type="dxa" w:w="4536"/>
          </w:tcPr>
          <w:p>
            <w:r>
              <w:rPr>
                <w:rFonts w:ascii="Times New Roman" w:hAnsi="Times New Roman"/>
                <w:sz w:val="20"/>
              </w:rPr>
              <w:t>Geschäftsführung</w:t>
            </w:r>
          </w:p>
        </w:tc>
        <w:tc>
          <w:tcPr>
            <w:tcW w:type="dxa" w:w="4536"/>
          </w:tcPr>
          <w:p>
            <w:r>
              <w:rPr>
                <w:rFonts w:ascii="Times New Roman" w:hAnsi="Times New Roman"/>
                <w:sz w:val="20"/>
              </w:rPr>
              <w:t>Anna Reimers (kaufmännisch), Lukas Petersen (technisch)</w:t>
            </w:r>
          </w:p>
        </w:tc>
      </w:tr>
      <w:tr>
        <w:tc>
          <w:tcPr>
            <w:tcW w:type="dxa" w:w="4536"/>
          </w:tcPr>
          <w:p>
            <w:r>
              <w:rPr>
                <w:rFonts w:ascii="Times New Roman" w:hAnsi="Times New Roman"/>
                <w:sz w:val="20"/>
              </w:rPr>
              <w:t>CFO (prokuriert)</w:t>
            </w:r>
          </w:p>
        </w:tc>
        <w:tc>
          <w:tcPr>
            <w:tcW w:type="dxa" w:w="4536"/>
          </w:tcPr>
          <w:p>
            <w:r>
              <w:rPr>
                <w:rFonts w:ascii="Times New Roman" w:hAnsi="Times New Roman"/>
                <w:sz w:val="20"/>
              </w:rPr>
              <w:t>Björn Hollender</w:t>
            </w:r>
          </w:p>
        </w:tc>
      </w:tr>
      <w:tr>
        <w:tc>
          <w:tcPr>
            <w:tcW w:type="dxa" w:w="4536"/>
          </w:tcPr>
          <w:p>
            <w:r>
              <w:rPr>
                <w:rFonts w:ascii="Times New Roman" w:hAnsi="Times New Roman"/>
                <w:sz w:val="20"/>
              </w:rPr>
              <w:t>Steuerberater</w:t>
            </w:r>
          </w:p>
        </w:tc>
        <w:tc>
          <w:tcPr>
            <w:tcW w:type="dxa" w:w="4536"/>
          </w:tcPr>
          <w:p>
            <w:r>
              <w:rPr>
                <w:rFonts w:ascii="Times New Roman" w:hAnsi="Times New Roman"/>
                <w:sz w:val="20"/>
              </w:rPr>
              <w:t>Dresen &amp; Partner GmbH WPG, Eppendorfer Baum 22, Hamburg</w:t>
            </w:r>
          </w:p>
        </w:tc>
      </w:tr>
      <w:tr>
        <w:tc>
          <w:tcPr>
            <w:tcW w:type="dxa" w:w="4536"/>
          </w:tcPr>
          <w:p>
            <w:r>
              <w:rPr>
                <w:rFonts w:ascii="Times New Roman" w:hAnsi="Times New Roman"/>
                <w:sz w:val="20"/>
              </w:rPr>
              <w:t>Hausbank</w:t>
            </w:r>
          </w:p>
        </w:tc>
        <w:tc>
          <w:tcPr>
            <w:tcW w:type="dxa" w:w="4536"/>
          </w:tcPr>
          <w:p>
            <w:r>
              <w:rPr>
                <w:rFonts w:ascii="Times New Roman" w:hAnsi="Times New Roman"/>
                <w:sz w:val="20"/>
              </w:rPr>
              <w:t>NordBank AG, Filiale Billstedt</w:t>
            </w:r>
          </w:p>
        </w:tc>
      </w:tr>
      <w:tr>
        <w:tc>
          <w:tcPr>
            <w:tcW w:type="dxa" w:w="4536"/>
          </w:tcPr>
          <w:p>
            <w:r>
              <w:rPr>
                <w:rFonts w:ascii="Times New Roman" w:hAnsi="Times New Roman"/>
                <w:sz w:val="20"/>
              </w:rPr>
              <w:t>Bilanzsumme 2024</w:t>
            </w:r>
          </w:p>
        </w:tc>
        <w:tc>
          <w:tcPr>
            <w:tcW w:type="dxa" w:w="4536"/>
          </w:tcPr>
          <w:p>
            <w:r>
              <w:rPr>
                <w:rFonts w:ascii="Times New Roman" w:hAnsi="Times New Roman"/>
                <w:sz w:val="20"/>
              </w:rPr>
              <w:t>ca. 12,4 Mio. Euro</w:t>
            </w:r>
          </w:p>
        </w:tc>
      </w:tr>
      <w:tr>
        <w:tc>
          <w:tcPr>
            <w:tcW w:type="dxa" w:w="4536"/>
          </w:tcPr>
          <w:p>
            <w:r>
              <w:rPr>
                <w:rFonts w:ascii="Times New Roman" w:hAnsi="Times New Roman"/>
                <w:sz w:val="20"/>
              </w:rPr>
              <w:t>Eigenkapital 2024</w:t>
            </w:r>
          </w:p>
        </w:tc>
        <w:tc>
          <w:tcPr>
            <w:tcW w:type="dxa" w:w="4536"/>
          </w:tcPr>
          <w:p>
            <w:r>
              <w:rPr>
                <w:rFonts w:ascii="Times New Roman" w:hAnsi="Times New Roman"/>
                <w:sz w:val="20"/>
              </w:rPr>
              <w:t>ca. 1,1 Mio. Euro (vorläufig, noch nicht testiert)</w:t>
            </w:r>
          </w:p>
        </w:tc>
      </w:tr>
    </w:tbl>
    <w:p>
      <w:pPr>
        <w:spacing w:line="259" w:lineRule="auto" w:after="60"/>
      </w:pPr>
    </w:p>
    <w:p>
      <w:pPr>
        <w:pStyle w:val="Heading2"/>
        <w:spacing w:before="120" w:after="60" w:line="259" w:lineRule="auto"/>
      </w:pPr>
      <w:r>
        <w:rPr>
          <w:rFonts w:ascii="Times New Roman" w:hAnsi="Times New Roman"/>
          <w:b/>
          <w:sz w:val="22"/>
        </w:rPr>
        <w:t>2. Geschäftstätigkeit und Leistungsportfolio</w:t>
      </w:r>
    </w:p>
    <w:p>
      <w:pPr>
        <w:spacing w:line="259" w:lineRule="auto" w:after="60"/>
        <w:jc w:val="left"/>
      </w:pPr>
      <w:r>
        <w:t>Die Metallbau Hansa GmbH ist auf die industrielle Vorfertigung von Stahlbaugruppen, Trägerkonstruktionen, Moduleinheiten und Sonderkonstruktionen aus Stahl und Aluminium spezialisiert. Das Unternehmen verfügt über eine 6.800 m² große Produktionshalle in Hamburg-Billbrook, die zum Teil eigengenutzt (Erbbaurecht der Stadt Hamburg) und zum Teil angemietet ist.</w:t>
      </w:r>
    </w:p>
    <w:p>
      <w:pPr>
        <w:pStyle w:val="Heading3"/>
        <w:spacing w:line="259" w:lineRule="auto" w:after="60"/>
      </w:pPr>
      <w:r>
        <w:rPr>
          <w:rFonts w:ascii="Times New Roman" w:hAnsi="Times New Roman"/>
        </w:rPr>
        <w:t>2.1 Produktsegmente</w:t>
      </w:r>
    </w:p>
    <w:p>
      <w:pPr>
        <w:spacing w:line="259" w:lineRule="auto" w:after="60"/>
        <w:jc w:val="left"/>
      </w:pPr>
      <w:r>
        <w:rPr>
          <w:b/>
        </w:rPr>
        <w:t>Segment Kommunale Infrastruktur (ca. 42 % des Umsatzes):</w:t>
      </w:r>
      <w:r>
        <w:t xml:space="preserve"> Lieferung von Stahl- und Aluminiumbaugruppen für kommunale Fernwärme-Trassenführungen, Übergabestationen und Dampf­verteilsysteme. Hauptkunde: Stadtwerke Nord GmbH &amp; Co. KG (Jahresrahmenvertrag 2024-2026, Auftragsvolumen zuletzt ca. 7,1 Mio. Euro p.a.).</w:t>
      </w:r>
    </w:p>
    <w:p>
      <w:pPr>
        <w:spacing w:line="259" w:lineRule="auto" w:after="60"/>
        <w:jc w:val="left"/>
      </w:pPr>
      <w:r>
        <w:rPr>
          <w:b/>
        </w:rPr>
        <w:t>Segment Bahninfrastruktur (ca. 28 % des Umsatzes):</w:t>
      </w:r>
      <w:r>
        <w:t xml:space="preserve"> Vorgefertigte Überdachungskonstruktionen, Bahnsteigdächer und Treppen­aufgänge für Regional- und S-Bahn-Stationen. Auftraggeber: InfraRail Service GmbH (Tochter eines bundeseigenen Unternehmens). Rahmenvertrag bis Ende 2027.</w:t>
      </w:r>
    </w:p>
    <w:p>
      <w:pPr>
        <w:spacing w:line="259" w:lineRule="auto" w:after="60"/>
        <w:jc w:val="left"/>
      </w:pPr>
      <w:r>
        <w:rPr>
          <w:b/>
        </w:rPr>
        <w:t>Segment Industrieller Anlagenbau (ca. 30 % des Umsatzes):</w:t>
      </w:r>
      <w:r>
        <w:t xml:space="preserve"> Sonderstahlbau für Prozessanlagen, Druckbehälter-Stützrahmen, Leitungsführungen. Hauptkunde: Elbe Anlagenbau GmbH &amp; Co. KG.</w:t>
      </w:r>
    </w:p>
    <w:p>
      <w:pPr>
        <w:pStyle w:val="Heading3"/>
        <w:spacing w:line="259" w:lineRule="auto" w:after="60"/>
      </w:pPr>
      <w:r>
        <w:rPr>
          <w:rFonts w:ascii="Times New Roman" w:hAnsi="Times New Roman"/>
        </w:rPr>
        <w:t>2.2 Fertigungstiefe und Lieferkette</w:t>
      </w:r>
    </w:p>
    <w:p>
      <w:pPr>
        <w:spacing w:line="259" w:lineRule="auto" w:after="60"/>
        <w:jc w:val="left"/>
      </w:pPr>
      <w:r>
        <w:t>Das Unternehmen bezieht Primärstahl ausschließlich von der Stahlhandel Küste GmbH (Hamburg) sowie gelegentlich von der Nordstahl GmbH (Altona). Eigene Säge-, Laser- und Schweißkapazitäten sind vorhanden. Oberflächenbehandlung (Verzinkung, Lackierung) wird an zwei Partnerbetriebe im Hamburger Hafen vergeben. Der Lagerbestand an Rohmaterial betrug zum 30. April 2026 vorläufig ca. 1,6 Mio. Euro (Buchwert).</w:t>
      </w:r>
    </w:p>
    <w:p>
      <w:pPr>
        <w:spacing w:line="259" w:lineRule="auto" w:after="60"/>
      </w:pPr>
    </w:p>
    <w:p>
      <w:pPr>
        <w:pStyle w:val="Heading2"/>
        <w:spacing w:line="259" w:lineRule="auto" w:after="60"/>
      </w:pPr>
      <w:r>
        <w:rPr>
          <w:rFonts w:ascii="Times New Roman" w:hAnsi="Times New Roman"/>
        </w:rPr>
        <w:t>3. Personal</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Bereich</w:t>
            </w:r>
          </w:p>
        </w:tc>
        <w:tc>
          <w:tcPr>
            <w:tcW w:type="dxa" w:w="4536"/>
          </w:tcPr>
          <w:p>
            <w:r>
              <w:rPr>
                <w:rFonts w:ascii="Times New Roman" w:hAnsi="Times New Roman"/>
                <w:b/>
                <w:sz w:val="20"/>
              </w:rPr>
              <w:t>Kopfzahl (VZÄ)</w:t>
            </w:r>
          </w:p>
        </w:tc>
      </w:tr>
      <w:tr>
        <w:tc>
          <w:tcPr>
            <w:tcW w:type="dxa" w:w="4536"/>
          </w:tcPr>
          <w:p>
            <w:r>
              <w:rPr>
                <w:rFonts w:ascii="Times New Roman" w:hAnsi="Times New Roman"/>
                <w:sz w:val="20"/>
              </w:rPr>
              <w:t>Produktion / Fertigung</w:t>
            </w:r>
          </w:p>
        </w:tc>
        <w:tc>
          <w:tcPr>
            <w:tcW w:type="dxa" w:w="4536"/>
          </w:tcPr>
          <w:p>
            <w:r>
              <w:rPr>
                <w:rFonts w:ascii="Times New Roman" w:hAnsi="Times New Roman"/>
                <w:sz w:val="20"/>
              </w:rPr>
              <w:t>54</w:t>
            </w:r>
          </w:p>
        </w:tc>
      </w:tr>
      <w:tr>
        <w:tc>
          <w:tcPr>
            <w:tcW w:type="dxa" w:w="4536"/>
          </w:tcPr>
          <w:p>
            <w:r>
              <w:rPr>
                <w:rFonts w:ascii="Times New Roman" w:hAnsi="Times New Roman"/>
                <w:sz w:val="20"/>
              </w:rPr>
              <w:t>Logistik / Lager</w:t>
            </w:r>
          </w:p>
        </w:tc>
        <w:tc>
          <w:tcPr>
            <w:tcW w:type="dxa" w:w="4536"/>
          </w:tcPr>
          <w:p>
            <w:r>
              <w:rPr>
                <w:rFonts w:ascii="Times New Roman" w:hAnsi="Times New Roman"/>
                <w:sz w:val="20"/>
              </w:rPr>
              <w:t>8</w:t>
            </w:r>
          </w:p>
        </w:tc>
      </w:tr>
      <w:tr>
        <w:tc>
          <w:tcPr>
            <w:tcW w:type="dxa" w:w="4536"/>
          </w:tcPr>
          <w:p>
            <w:r>
              <w:rPr>
                <w:rFonts w:ascii="Times New Roman" w:hAnsi="Times New Roman"/>
                <w:sz w:val="20"/>
              </w:rPr>
              <w:t>Projektmanagement</w:t>
            </w:r>
          </w:p>
        </w:tc>
        <w:tc>
          <w:tcPr>
            <w:tcW w:type="dxa" w:w="4536"/>
          </w:tcPr>
          <w:p>
            <w:r>
              <w:rPr>
                <w:rFonts w:ascii="Times New Roman" w:hAnsi="Times New Roman"/>
                <w:sz w:val="20"/>
              </w:rPr>
              <w:t>7</w:t>
            </w:r>
          </w:p>
        </w:tc>
      </w:tr>
      <w:tr>
        <w:tc>
          <w:tcPr>
            <w:tcW w:type="dxa" w:w="4536"/>
          </w:tcPr>
          <w:p>
            <w:r>
              <w:rPr>
                <w:rFonts w:ascii="Times New Roman" w:hAnsi="Times New Roman"/>
                <w:sz w:val="20"/>
              </w:rPr>
              <w:t>Konstruktion / Technik</w:t>
            </w:r>
          </w:p>
        </w:tc>
        <w:tc>
          <w:tcPr>
            <w:tcW w:type="dxa" w:w="4536"/>
          </w:tcPr>
          <w:p>
            <w:r>
              <w:rPr>
                <w:rFonts w:ascii="Times New Roman" w:hAnsi="Times New Roman"/>
                <w:sz w:val="20"/>
              </w:rPr>
              <w:t>6</w:t>
            </w:r>
          </w:p>
        </w:tc>
      </w:tr>
      <w:tr>
        <w:tc>
          <w:tcPr>
            <w:tcW w:type="dxa" w:w="4536"/>
          </w:tcPr>
          <w:p>
            <w:r>
              <w:rPr>
                <w:rFonts w:ascii="Times New Roman" w:hAnsi="Times New Roman"/>
                <w:sz w:val="20"/>
              </w:rPr>
              <w:t>Kaufmännische Verwaltung</w:t>
            </w:r>
          </w:p>
        </w:tc>
        <w:tc>
          <w:tcPr>
            <w:tcW w:type="dxa" w:w="4536"/>
          </w:tcPr>
          <w:p>
            <w:r>
              <w:rPr>
                <w:rFonts w:ascii="Times New Roman" w:hAnsi="Times New Roman"/>
                <w:sz w:val="20"/>
              </w:rPr>
              <w:t>7</w:t>
            </w:r>
          </w:p>
        </w:tc>
      </w:tr>
      <w:tr>
        <w:tc>
          <w:tcPr>
            <w:tcW w:type="dxa" w:w="4536"/>
          </w:tcPr>
          <w:p>
            <w:r>
              <w:rPr>
                <w:rFonts w:ascii="Times New Roman" w:hAnsi="Times New Roman"/>
                <w:sz w:val="20"/>
              </w:rPr>
              <w:t>Geschäftsführung</w:t>
            </w:r>
          </w:p>
        </w:tc>
        <w:tc>
          <w:tcPr>
            <w:tcW w:type="dxa" w:w="4536"/>
          </w:tcPr>
          <w:p>
            <w:r>
              <w:rPr>
                <w:rFonts w:ascii="Times New Roman" w:hAnsi="Times New Roman"/>
                <w:sz w:val="20"/>
              </w:rPr>
              <w:t>2 (+ CFO als Prokurist)</w:t>
            </w:r>
          </w:p>
        </w:tc>
      </w:tr>
      <w:tr>
        <w:tc>
          <w:tcPr>
            <w:tcW w:type="dxa" w:w="4536"/>
          </w:tcPr>
          <w:p>
            <w:r>
              <w:rPr>
                <w:rFonts w:ascii="Times New Roman" w:hAnsi="Times New Roman"/>
                <w:sz w:val="20"/>
              </w:rPr>
              <w:t>Auszubildende</w:t>
            </w:r>
          </w:p>
        </w:tc>
        <w:tc>
          <w:tcPr>
            <w:tcW w:type="dxa" w:w="4536"/>
          </w:tcPr>
          <w:p>
            <w:r>
              <w:rPr>
                <w:rFonts w:ascii="Times New Roman" w:hAnsi="Times New Roman"/>
                <w:sz w:val="20"/>
              </w:rPr>
              <w:t>4</w:t>
            </w:r>
          </w:p>
        </w:tc>
      </w:tr>
      <w:tr>
        <w:tc>
          <w:tcPr>
            <w:tcW w:type="dxa" w:w="4536"/>
          </w:tcPr>
          <w:p>
            <w:r>
              <w:rPr>
                <w:rFonts w:ascii="Times New Roman" w:hAnsi="Times New Roman"/>
                <w:b/>
                <w:sz w:val="20"/>
              </w:rPr>
              <w:t>Gesamt</w:t>
            </w:r>
          </w:p>
        </w:tc>
        <w:tc>
          <w:tcPr>
            <w:tcW w:type="dxa" w:w="4536"/>
          </w:tcPr>
          <w:p>
            <w:r>
              <w:rPr>
                <w:rFonts w:ascii="Times New Roman" w:hAnsi="Times New Roman"/>
                <w:b/>
                <w:sz w:val="20"/>
              </w:rPr>
              <w:t>88 (inkl. 2 GF)</w:t>
            </w:r>
          </w:p>
        </w:tc>
      </w:tr>
    </w:tbl>
    <w:p>
      <w:pPr>
        <w:spacing w:line="259" w:lineRule="auto" w:after="60"/>
        <w:jc w:val="left"/>
      </w:pPr>
      <w:r>
        <w:t>Tarifgebundenheit: Das Unternehmen ist nicht direkt tarifgebunden; es zahlt branchenübliche Gehälter, die am Metalltarif Hamburg (IG Metall) orientiert sind. Es besteht ein Betriebsrat (fünf Mitglieder, Vorsitzende: Karin Metzger). Sozialplan oder Interessenausgleich existieren nicht. Monatliche Lohnkosten inkl. Arbeitgeberanteile: ca. 450.000 Euro.</w:t>
      </w:r>
    </w:p>
    <w:p>
      <w:pPr>
        <w:spacing w:line="259" w:lineRule="auto" w:after="60"/>
        <w:jc w:val="left"/>
      </w:pPr>
      <w:r>
        <w:rPr>
          <w:b/>
        </w:rPr>
        <w:t>Schlüsselpersonen:</w:t>
      </w:r>
    </w:p>
    <w:p>
      <w:pPr>
        <w:pStyle w:val="ListBullet"/>
        <w:spacing w:line="259" w:lineRule="auto" w:after="60"/>
      </w:pPr>
      <w:r>
        <w:t>Herstellungsleiter Rainer Buchholz (seit 2008, Schweißfachingenieur): kennt alle Großkunden-Prozesse.</w:t>
      </w:r>
    </w:p>
    <w:p>
      <w:pPr>
        <w:pStyle w:val="ListBullet"/>
        <w:spacing w:line="259" w:lineRule="auto" w:after="60"/>
      </w:pPr>
      <w:r>
        <w:t>Projektleiterin Sinja Ohlmann (seit 2015): Bahnstation-Spezialistin.</w:t>
      </w:r>
    </w:p>
    <w:p>
      <w:pPr>
        <w:pStyle w:val="ListBullet"/>
        <w:spacing w:line="259" w:lineRule="auto" w:after="60"/>
      </w:pPr>
      <w:r>
        <w:t>Hauptbuchhalter Klaus-Dieter Sander (seit 2011): hält Finanzdaten zusammen.</w:t>
      </w:r>
    </w:p>
    <w:p>
      <w:pPr>
        <w:spacing w:line="259" w:lineRule="auto" w:after="60"/>
      </w:pPr>
    </w:p>
    <w:p>
      <w:pPr>
        <w:pStyle w:val="Heading2"/>
        <w:spacing w:line="259" w:lineRule="auto" w:after="60"/>
      </w:pPr>
      <w:r>
        <w:rPr>
          <w:rFonts w:ascii="Times New Roman" w:hAnsi="Times New Roman"/>
        </w:rPr>
        <w:t>4. Wirtschaftliche Entwicklung</w:t>
      </w:r>
    </w:p>
    <w:p>
      <w:pPr>
        <w:pStyle w:val="Heading3"/>
        <w:spacing w:line="259" w:lineRule="auto" w:after="60"/>
      </w:pPr>
      <w:r>
        <w:rPr>
          <w:rFonts w:ascii="Times New Roman" w:hAnsi="Times New Roman"/>
        </w:rPr>
        <w:t>4.1 Umsatz und Ergebnis (vereinfacht)</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Kennzahl</w:t>
            </w:r>
          </w:p>
        </w:tc>
        <w:tc>
          <w:tcPr>
            <w:tcW w:type="dxa" w:w="2268"/>
          </w:tcPr>
          <w:p>
            <w:r>
              <w:rPr>
                <w:rFonts w:ascii="Times New Roman" w:hAnsi="Times New Roman"/>
                <w:b/>
                <w:sz w:val="20"/>
              </w:rPr>
              <w:t>2023</w:t>
            </w:r>
          </w:p>
        </w:tc>
        <w:tc>
          <w:tcPr>
            <w:tcW w:type="dxa" w:w="2268"/>
          </w:tcPr>
          <w:p>
            <w:r>
              <w:rPr>
                <w:rFonts w:ascii="Times New Roman" w:hAnsi="Times New Roman"/>
                <w:b/>
                <w:sz w:val="20"/>
              </w:rPr>
              <w:t>2024</w:t>
            </w:r>
          </w:p>
        </w:tc>
        <w:tc>
          <w:tcPr>
            <w:tcW w:type="dxa" w:w="2268"/>
          </w:tcPr>
          <w:p>
            <w:r>
              <w:rPr>
                <w:rFonts w:ascii="Times New Roman" w:hAnsi="Times New Roman"/>
                <w:b/>
                <w:sz w:val="20"/>
              </w:rPr>
              <w:t>2025 (vorläufig)</w:t>
            </w:r>
          </w:p>
        </w:tc>
      </w:tr>
      <w:tr>
        <w:tc>
          <w:tcPr>
            <w:tcW w:type="dxa" w:w="2268"/>
          </w:tcPr>
          <w:p>
            <w:r>
              <w:rPr>
                <w:rFonts w:ascii="Times New Roman" w:hAnsi="Times New Roman"/>
                <w:sz w:val="20"/>
              </w:rPr>
              <w:t>Umsatz (Mio. €)</w:t>
            </w:r>
          </w:p>
        </w:tc>
        <w:tc>
          <w:tcPr>
            <w:tcW w:type="dxa" w:w="2268"/>
          </w:tcPr>
          <w:p>
            <w:r>
              <w:rPr>
                <w:rFonts w:ascii="Times New Roman" w:hAnsi="Times New Roman"/>
                <w:sz w:val="20"/>
              </w:rPr>
              <w:t>19,8</w:t>
            </w:r>
          </w:p>
        </w:tc>
        <w:tc>
          <w:tcPr>
            <w:tcW w:type="dxa" w:w="2268"/>
          </w:tcPr>
          <w:p>
            <w:r>
              <w:rPr>
                <w:rFonts w:ascii="Times New Roman" w:hAnsi="Times New Roman"/>
                <w:sz w:val="20"/>
              </w:rPr>
              <w:t>18,4</w:t>
            </w:r>
          </w:p>
        </w:tc>
        <w:tc>
          <w:tcPr>
            <w:tcW w:type="dxa" w:w="2268"/>
          </w:tcPr>
          <w:p>
            <w:r>
              <w:rPr>
                <w:rFonts w:ascii="Times New Roman" w:hAnsi="Times New Roman"/>
                <w:sz w:val="20"/>
              </w:rPr>
              <w:t>16,9</w:t>
            </w:r>
          </w:p>
        </w:tc>
      </w:tr>
      <w:tr>
        <w:tc>
          <w:tcPr>
            <w:tcW w:type="dxa" w:w="2268"/>
          </w:tcPr>
          <w:p>
            <w:r>
              <w:rPr>
                <w:rFonts w:ascii="Times New Roman" w:hAnsi="Times New Roman"/>
                <w:sz w:val="20"/>
              </w:rPr>
              <w:t>Rohmaterialquote</w:t>
            </w:r>
          </w:p>
        </w:tc>
        <w:tc>
          <w:tcPr>
            <w:tcW w:type="dxa" w:w="2268"/>
          </w:tcPr>
          <w:p>
            <w:r>
              <w:rPr>
                <w:rFonts w:ascii="Times New Roman" w:hAnsi="Times New Roman"/>
                <w:sz w:val="20"/>
              </w:rPr>
              <w:t>53 %</w:t>
            </w:r>
          </w:p>
        </w:tc>
        <w:tc>
          <w:tcPr>
            <w:tcW w:type="dxa" w:w="2268"/>
          </w:tcPr>
          <w:p>
            <w:r>
              <w:rPr>
                <w:rFonts w:ascii="Times New Roman" w:hAnsi="Times New Roman"/>
                <w:sz w:val="20"/>
              </w:rPr>
              <w:t>58 %</w:t>
            </w:r>
          </w:p>
        </w:tc>
        <w:tc>
          <w:tcPr>
            <w:tcW w:type="dxa" w:w="2268"/>
          </w:tcPr>
          <w:p>
            <w:r>
              <w:rPr>
                <w:rFonts w:ascii="Times New Roman" w:hAnsi="Times New Roman"/>
                <w:sz w:val="20"/>
              </w:rPr>
              <w:t>64 %</w:t>
            </w:r>
          </w:p>
        </w:tc>
      </w:tr>
      <w:tr>
        <w:tc>
          <w:tcPr>
            <w:tcW w:type="dxa" w:w="2268"/>
          </w:tcPr>
          <w:p>
            <w:r>
              <w:rPr>
                <w:rFonts w:ascii="Times New Roman" w:hAnsi="Times New Roman"/>
                <w:sz w:val="20"/>
              </w:rPr>
              <w:t>Personalaufwand (Mio. €)</w:t>
            </w:r>
          </w:p>
        </w:tc>
        <w:tc>
          <w:tcPr>
            <w:tcW w:type="dxa" w:w="2268"/>
          </w:tcPr>
          <w:p>
            <w:r>
              <w:rPr>
                <w:rFonts w:ascii="Times New Roman" w:hAnsi="Times New Roman"/>
                <w:sz w:val="20"/>
              </w:rPr>
              <w:t>4,9</w:t>
            </w:r>
          </w:p>
        </w:tc>
        <w:tc>
          <w:tcPr>
            <w:tcW w:type="dxa" w:w="2268"/>
          </w:tcPr>
          <w:p>
            <w:r>
              <w:rPr>
                <w:rFonts w:ascii="Times New Roman" w:hAnsi="Times New Roman"/>
                <w:sz w:val="20"/>
              </w:rPr>
              <w:t>5,2</w:t>
            </w:r>
          </w:p>
        </w:tc>
        <w:tc>
          <w:tcPr>
            <w:tcW w:type="dxa" w:w="2268"/>
          </w:tcPr>
          <w:p>
            <w:r>
              <w:rPr>
                <w:rFonts w:ascii="Times New Roman" w:hAnsi="Times New Roman"/>
                <w:sz w:val="20"/>
              </w:rPr>
              <w:t>5,45</w:t>
            </w:r>
          </w:p>
        </w:tc>
      </w:tr>
      <w:tr>
        <w:tc>
          <w:tcPr>
            <w:tcW w:type="dxa" w:w="2268"/>
          </w:tcPr>
          <w:p>
            <w:r>
              <w:rPr>
                <w:rFonts w:ascii="Times New Roman" w:hAnsi="Times New Roman"/>
                <w:sz w:val="20"/>
              </w:rPr>
              <w:t>EBITDA (Mio. €)</w:t>
            </w:r>
          </w:p>
        </w:tc>
        <w:tc>
          <w:tcPr>
            <w:tcW w:type="dxa" w:w="2268"/>
          </w:tcPr>
          <w:p>
            <w:r>
              <w:rPr>
                <w:rFonts w:ascii="Times New Roman" w:hAnsi="Times New Roman"/>
                <w:sz w:val="20"/>
              </w:rPr>
              <w:t>1,42</w:t>
            </w:r>
          </w:p>
        </w:tc>
        <w:tc>
          <w:tcPr>
            <w:tcW w:type="dxa" w:w="2268"/>
          </w:tcPr>
          <w:p>
            <w:r>
              <w:rPr>
                <w:rFonts w:ascii="Times New Roman" w:hAnsi="Times New Roman"/>
                <w:sz w:val="20"/>
              </w:rPr>
              <w:t>0,86</w:t>
            </w:r>
          </w:p>
        </w:tc>
        <w:tc>
          <w:tcPr>
            <w:tcW w:type="dxa" w:w="2268"/>
          </w:tcPr>
          <w:p>
            <w:r>
              <w:rPr>
                <w:rFonts w:ascii="Times New Roman" w:hAnsi="Times New Roman"/>
                <w:sz w:val="20"/>
              </w:rPr>
              <w:t>–0,42</w:t>
            </w:r>
          </w:p>
        </w:tc>
      </w:tr>
      <w:tr>
        <w:tc>
          <w:tcPr>
            <w:tcW w:type="dxa" w:w="2268"/>
          </w:tcPr>
          <w:p>
            <w:r>
              <w:rPr>
                <w:rFonts w:ascii="Times New Roman" w:hAnsi="Times New Roman"/>
                <w:sz w:val="20"/>
              </w:rPr>
              <w:t>EBIT (Mio. €)</w:t>
            </w:r>
          </w:p>
        </w:tc>
        <w:tc>
          <w:tcPr>
            <w:tcW w:type="dxa" w:w="2268"/>
          </w:tcPr>
          <w:p>
            <w:r>
              <w:rPr>
                <w:rFonts w:ascii="Times New Roman" w:hAnsi="Times New Roman"/>
                <w:sz w:val="20"/>
              </w:rPr>
              <w:t>0,78</w:t>
            </w:r>
          </w:p>
        </w:tc>
        <w:tc>
          <w:tcPr>
            <w:tcW w:type="dxa" w:w="2268"/>
          </w:tcPr>
          <w:p>
            <w:r>
              <w:rPr>
                <w:rFonts w:ascii="Times New Roman" w:hAnsi="Times New Roman"/>
                <w:sz w:val="20"/>
              </w:rPr>
              <w:t>0,21</w:t>
            </w:r>
          </w:p>
        </w:tc>
        <w:tc>
          <w:tcPr>
            <w:tcW w:type="dxa" w:w="2268"/>
          </w:tcPr>
          <w:p>
            <w:r>
              <w:rPr>
                <w:rFonts w:ascii="Times New Roman" w:hAnsi="Times New Roman"/>
                <w:sz w:val="20"/>
              </w:rPr>
              <w:t>–1,09</w:t>
            </w:r>
          </w:p>
        </w:tc>
      </w:tr>
      <w:tr>
        <w:tc>
          <w:tcPr>
            <w:tcW w:type="dxa" w:w="2268"/>
          </w:tcPr>
          <w:p>
            <w:r>
              <w:rPr>
                <w:rFonts w:ascii="Times New Roman" w:hAnsi="Times New Roman"/>
                <w:sz w:val="20"/>
              </w:rPr>
              <w:t>Zinsaufwand (Tsd. €)</w:t>
            </w:r>
          </w:p>
        </w:tc>
        <w:tc>
          <w:tcPr>
            <w:tcW w:type="dxa" w:w="2268"/>
          </w:tcPr>
          <w:p>
            <w:r>
              <w:rPr>
                <w:rFonts w:ascii="Times New Roman" w:hAnsi="Times New Roman"/>
                <w:sz w:val="20"/>
              </w:rPr>
              <w:t>280</w:t>
            </w:r>
          </w:p>
        </w:tc>
        <w:tc>
          <w:tcPr>
            <w:tcW w:type="dxa" w:w="2268"/>
          </w:tcPr>
          <w:p>
            <w:r>
              <w:rPr>
                <w:rFonts w:ascii="Times New Roman" w:hAnsi="Times New Roman"/>
                <w:sz w:val="20"/>
              </w:rPr>
              <w:t>310</w:t>
            </w:r>
          </w:p>
        </w:tc>
        <w:tc>
          <w:tcPr>
            <w:tcW w:type="dxa" w:w="2268"/>
          </w:tcPr>
          <w:p>
            <w:r>
              <w:rPr>
                <w:rFonts w:ascii="Times New Roman" w:hAnsi="Times New Roman"/>
                <w:sz w:val="20"/>
              </w:rPr>
              <w:t>390</w:t>
            </w:r>
          </w:p>
        </w:tc>
      </w:tr>
      <w:tr>
        <w:tc>
          <w:tcPr>
            <w:tcW w:type="dxa" w:w="2268"/>
          </w:tcPr>
          <w:p>
            <w:r>
              <w:rPr>
                <w:rFonts w:ascii="Times New Roman" w:hAnsi="Times New Roman"/>
                <w:sz w:val="20"/>
              </w:rPr>
              <w:t>Jahresergebnis (Tsd. €)</w:t>
            </w:r>
          </w:p>
        </w:tc>
        <w:tc>
          <w:tcPr>
            <w:tcW w:type="dxa" w:w="2268"/>
          </w:tcPr>
          <w:p>
            <w:r>
              <w:rPr>
                <w:rFonts w:ascii="Times New Roman" w:hAnsi="Times New Roman"/>
                <w:sz w:val="20"/>
              </w:rPr>
              <w:t>380</w:t>
            </w:r>
          </w:p>
        </w:tc>
        <w:tc>
          <w:tcPr>
            <w:tcW w:type="dxa" w:w="2268"/>
          </w:tcPr>
          <w:p>
            <w:r>
              <w:rPr>
                <w:rFonts w:ascii="Times New Roman" w:hAnsi="Times New Roman"/>
                <w:sz w:val="20"/>
              </w:rPr>
              <w:t>–110</w:t>
            </w:r>
          </w:p>
        </w:tc>
        <w:tc>
          <w:tcPr>
            <w:tcW w:type="dxa" w:w="2268"/>
          </w:tcPr>
          <w:p>
            <w:r>
              <w:rPr>
                <w:rFonts w:ascii="Times New Roman" w:hAnsi="Times New Roman"/>
                <w:sz w:val="20"/>
              </w:rPr>
              <w:t>–1.340 (vorläufig)</w:t>
            </w:r>
          </w:p>
        </w:tc>
      </w:tr>
    </w:tbl>
    <w:p>
      <w:pPr>
        <w:pStyle w:val="Heading3"/>
        <w:spacing w:line="259" w:lineRule="auto" w:after="60"/>
      </w:pPr>
      <w:r>
        <w:rPr>
          <w:rFonts w:ascii="Times New Roman" w:hAnsi="Times New Roman"/>
        </w:rPr>
        <w:t>4.2 Ursachen des Ergebniseinbruchs</w:t>
      </w:r>
    </w:p>
    <w:p>
      <w:pPr>
        <w:spacing w:line="259" w:lineRule="auto" w:after="60"/>
        <w:jc w:val="left"/>
      </w:pPr>
      <w:r>
        <w:t>Der Haupttreiber ist die Materialpreisdynamik 2023/2024: Warmgewalzter Bandstahl (HRC) notierte Mitte 2023 mit ca. 820 Euro/t; in Festpreisverträgen aus 2022/2023 waren nur 680 Euro/t kalkuliert. Zwei Aufträge (Bahnstation Altona-Süd, Gesamtvolumen 3,1 Mio. Euro; Wärmeprojekt Stellingen, Volumen 2,4 Mio. Euro) wurden mit einem Deckungsbeitragsverlust von zusammen ca. 870.000 Euro abgewickelt.</w:t>
      </w:r>
    </w:p>
    <w:p>
      <w:pPr>
        <w:spacing w:line="259" w:lineRule="auto" w:after="60"/>
        <w:jc w:val="left"/>
      </w:pPr>
      <w:r>
        <w:t>Hinzu kam eine Debitorenlaufzeit, die sich von durchschnittlich 42 Tagen (2023) auf 61 Tage (2025) verlängerte, primär bedingt durch Zahlungsverzug bei InfraRail Service GmbH (Projektverzögerungen behördlicherseits).</w:t>
      </w:r>
    </w:p>
    <w:p>
      <w:pPr>
        <w:pStyle w:val="Heading3"/>
        <w:spacing w:line="259" w:lineRule="auto" w:after="60"/>
      </w:pPr>
      <w:r>
        <w:rPr>
          <w:rFonts w:ascii="Times New Roman" w:hAnsi="Times New Roman"/>
        </w:rPr>
        <w:t>4.3 Aktuelle Auftragslage</w:t>
      </w:r>
    </w:p>
    <w:p>
      <w:pPr>
        <w:spacing w:line="259" w:lineRule="auto" w:after="60"/>
        <w:jc w:val="left"/>
      </w:pPr>
      <w:r>
        <w:t>Der Auftragsbestand betrug per 14. Mai 2026 ca. 11,3 Mio. Euro (Vertragsvolumen noch nicht abgerechnet). Davon sind ca. 4,2 Mio. Euro durch unterschriebene Verträge und Bestellungen gedeckt. Der restliche Bestand beruht auf Rahmenverträgen, die noch abgerufen werden müssen. Der verzögerte Stadtwerke-Nord-Auftrag (ca. 2,8 Mio. Euro) ist vertraglich gebunden, aber der Abruf hängt von der Baugenehmigung für ein Fernwärmeprojekt ab, die für August 2026 erwartet wird.</w:t>
      </w:r>
    </w:p>
    <w:p>
      <w:pPr>
        <w:spacing w:line="259" w:lineRule="auto" w:after="60"/>
      </w:pPr>
    </w:p>
    <w:p>
      <w:pPr>
        <w:pStyle w:val="Heading2"/>
        <w:spacing w:line="259" w:lineRule="auto" w:after="60"/>
      </w:pPr>
      <w:r>
        <w:rPr>
          <w:rFonts w:ascii="Times New Roman" w:hAnsi="Times New Roman"/>
        </w:rPr>
        <w:t>5. Vermögenslage und Sicherheiten</w:t>
      </w:r>
    </w:p>
    <w:p>
      <w:pPr>
        <w:pStyle w:val="Heading3"/>
        <w:spacing w:line="259" w:lineRule="auto" w:after="60"/>
      </w:pPr>
      <w:r>
        <w:rPr>
          <w:rFonts w:ascii="Times New Roman" w:hAnsi="Times New Roman"/>
        </w:rPr>
        <w:t>5.1 Anlagevermögen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Position</w:t>
            </w:r>
          </w:p>
        </w:tc>
        <w:tc>
          <w:tcPr>
            <w:tcW w:type="dxa" w:w="2268"/>
          </w:tcPr>
          <w:p>
            <w:r>
              <w:rPr>
                <w:rFonts w:ascii="Times New Roman" w:hAnsi="Times New Roman"/>
                <w:b/>
                <w:sz w:val="20"/>
              </w:rPr>
              <w:t>Buchwert 30.04.2026</w:t>
            </w:r>
          </w:p>
        </w:tc>
        <w:tc>
          <w:tcPr>
            <w:tcW w:type="dxa" w:w="2268"/>
          </w:tcPr>
          <w:p>
            <w:r>
              <w:rPr>
                <w:rFonts w:ascii="Times New Roman" w:hAnsi="Times New Roman"/>
                <w:b/>
                <w:sz w:val="20"/>
              </w:rPr>
              <w:t>Schätzwert Fortführung</w:t>
            </w:r>
          </w:p>
        </w:tc>
        <w:tc>
          <w:tcPr>
            <w:tcW w:type="dxa" w:w="2268"/>
          </w:tcPr>
          <w:p>
            <w:r>
              <w:rPr>
                <w:rFonts w:ascii="Times New Roman" w:hAnsi="Times New Roman"/>
                <w:b/>
                <w:sz w:val="20"/>
              </w:rPr>
              <w:t>Schätzwert Liquidation</w:t>
            </w:r>
          </w:p>
        </w:tc>
      </w:tr>
      <w:tr>
        <w:tc>
          <w:tcPr>
            <w:tcW w:type="dxa" w:w="2268"/>
          </w:tcPr>
          <w:p>
            <w:r>
              <w:rPr>
                <w:rFonts w:ascii="Times New Roman" w:hAnsi="Times New Roman"/>
                <w:sz w:val="20"/>
              </w:rPr>
              <w:t>Maschinenpark (CNC, Kran, Schweißanlagen)</w:t>
            </w:r>
          </w:p>
        </w:tc>
        <w:tc>
          <w:tcPr>
            <w:tcW w:type="dxa" w:w="2268"/>
          </w:tcPr>
          <w:p>
            <w:r>
              <w:rPr>
                <w:rFonts w:ascii="Times New Roman" w:hAnsi="Times New Roman"/>
                <w:sz w:val="20"/>
              </w:rPr>
              <w:t>2,15 Mio. €</w:t>
            </w:r>
          </w:p>
        </w:tc>
        <w:tc>
          <w:tcPr>
            <w:tcW w:type="dxa" w:w="2268"/>
          </w:tcPr>
          <w:p>
            <w:r>
              <w:rPr>
                <w:rFonts w:ascii="Times New Roman" w:hAnsi="Times New Roman"/>
                <w:sz w:val="20"/>
              </w:rPr>
              <w:t>1,25 Mio. €</w:t>
            </w:r>
          </w:p>
        </w:tc>
        <w:tc>
          <w:tcPr>
            <w:tcW w:type="dxa" w:w="2268"/>
          </w:tcPr>
          <w:p>
            <w:r>
              <w:rPr>
                <w:rFonts w:ascii="Times New Roman" w:hAnsi="Times New Roman"/>
                <w:sz w:val="20"/>
              </w:rPr>
              <w:t>0,61 Mio. €</w:t>
            </w:r>
          </w:p>
        </w:tc>
      </w:tr>
      <w:tr>
        <w:tc>
          <w:tcPr>
            <w:tcW w:type="dxa" w:w="2268"/>
          </w:tcPr>
          <w:p>
            <w:r>
              <w:rPr>
                <w:rFonts w:ascii="Times New Roman" w:hAnsi="Times New Roman"/>
                <w:sz w:val="20"/>
              </w:rPr>
              <w:t>Büro- und EDV-Ausstattung</w:t>
            </w:r>
          </w:p>
        </w:tc>
        <w:tc>
          <w:tcPr>
            <w:tcW w:type="dxa" w:w="2268"/>
          </w:tcPr>
          <w:p>
            <w:r>
              <w:rPr>
                <w:rFonts w:ascii="Times New Roman" w:hAnsi="Times New Roman"/>
                <w:sz w:val="20"/>
              </w:rPr>
              <w:t>0,18 Mio. €</w:t>
            </w:r>
          </w:p>
        </w:tc>
        <w:tc>
          <w:tcPr>
            <w:tcW w:type="dxa" w:w="2268"/>
          </w:tcPr>
          <w:p>
            <w:r>
              <w:rPr>
                <w:rFonts w:ascii="Times New Roman" w:hAnsi="Times New Roman"/>
                <w:sz w:val="20"/>
              </w:rPr>
              <w:t>0,05 Mio. €</w:t>
            </w:r>
          </w:p>
        </w:tc>
        <w:tc>
          <w:tcPr>
            <w:tcW w:type="dxa" w:w="2268"/>
          </w:tcPr>
          <w:p>
            <w:r>
              <w:rPr>
                <w:rFonts w:ascii="Times New Roman" w:hAnsi="Times New Roman"/>
                <w:sz w:val="20"/>
              </w:rPr>
              <w:t>0,02 Mio. €</w:t>
            </w:r>
          </w:p>
        </w:tc>
      </w:tr>
      <w:tr>
        <w:tc>
          <w:tcPr>
            <w:tcW w:type="dxa" w:w="2268"/>
          </w:tcPr>
          <w:p>
            <w:r>
              <w:rPr>
                <w:rFonts w:ascii="Times New Roman" w:hAnsi="Times New Roman"/>
                <w:sz w:val="20"/>
              </w:rPr>
              <w:t>Fuhrpark (3 LKW, 2 Stapler)</w:t>
            </w:r>
          </w:p>
        </w:tc>
        <w:tc>
          <w:tcPr>
            <w:tcW w:type="dxa" w:w="2268"/>
          </w:tcPr>
          <w:p>
            <w:r>
              <w:rPr>
                <w:rFonts w:ascii="Times New Roman" w:hAnsi="Times New Roman"/>
                <w:sz w:val="20"/>
              </w:rPr>
              <w:t>0,29 Mio. €</w:t>
            </w:r>
          </w:p>
        </w:tc>
        <w:tc>
          <w:tcPr>
            <w:tcW w:type="dxa" w:w="2268"/>
          </w:tcPr>
          <w:p>
            <w:r>
              <w:rPr>
                <w:rFonts w:ascii="Times New Roman" w:hAnsi="Times New Roman"/>
                <w:sz w:val="20"/>
              </w:rPr>
              <w:t>0,20 Mio. €</w:t>
            </w:r>
          </w:p>
        </w:tc>
        <w:tc>
          <w:tcPr>
            <w:tcW w:type="dxa" w:w="2268"/>
          </w:tcPr>
          <w:p>
            <w:r>
              <w:rPr>
                <w:rFonts w:ascii="Times New Roman" w:hAnsi="Times New Roman"/>
                <w:sz w:val="20"/>
              </w:rPr>
              <w:t>0,14 Mio. €</w:t>
            </w:r>
          </w:p>
        </w:tc>
      </w:tr>
      <w:tr>
        <w:tc>
          <w:tcPr>
            <w:tcW w:type="dxa" w:w="2268"/>
          </w:tcPr>
          <w:p>
            <w:r>
              <w:rPr>
                <w:rFonts w:ascii="Times New Roman" w:hAnsi="Times New Roman"/>
                <w:sz w:val="20"/>
              </w:rPr>
              <w:t>Erbbaurecht-Ausbau</w:t>
            </w:r>
          </w:p>
        </w:tc>
        <w:tc>
          <w:tcPr>
            <w:tcW w:type="dxa" w:w="2268"/>
          </w:tcPr>
          <w:p>
            <w:r>
              <w:rPr>
                <w:rFonts w:ascii="Times New Roman" w:hAnsi="Times New Roman"/>
                <w:sz w:val="20"/>
              </w:rPr>
              <w:t>0,74 Mio. €</w:t>
            </w:r>
          </w:p>
        </w:tc>
        <w:tc>
          <w:tcPr>
            <w:tcW w:type="dxa" w:w="2268"/>
          </w:tcPr>
          <w:p>
            <w:r>
              <w:rPr>
                <w:rFonts w:ascii="Times New Roman" w:hAnsi="Times New Roman"/>
                <w:sz w:val="20"/>
              </w:rPr>
              <w:t>0,60 Mio. €</w:t>
            </w:r>
          </w:p>
        </w:tc>
        <w:tc>
          <w:tcPr>
            <w:tcW w:type="dxa" w:w="2268"/>
          </w:tcPr>
          <w:p>
            <w:r>
              <w:rPr>
                <w:rFonts w:ascii="Times New Roman" w:hAnsi="Times New Roman"/>
                <w:sz w:val="20"/>
              </w:rPr>
              <w:t>0,10 Mio. €</w:t>
            </w:r>
          </w:p>
        </w:tc>
      </w:tr>
    </w:tbl>
    <w:p>
      <w:pPr>
        <w:pStyle w:val="Heading3"/>
        <w:spacing w:line="259" w:lineRule="auto" w:after="60"/>
      </w:pPr>
      <w:r>
        <w:rPr>
          <w:rFonts w:ascii="Times New Roman" w:hAnsi="Times New Roman"/>
        </w:rPr>
        <w:t>5.2 Umlaufvermögen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Buchwert 30.04.2026</w:t>
            </w:r>
          </w:p>
        </w:tc>
      </w:tr>
      <w:tr>
        <w:tc>
          <w:tcPr>
            <w:tcW w:type="dxa" w:w="4536"/>
          </w:tcPr>
          <w:p>
            <w:r>
              <w:rPr>
                <w:rFonts w:ascii="Times New Roman" w:hAnsi="Times New Roman"/>
                <w:sz w:val="20"/>
              </w:rPr>
              <w:t>Vorräte (Rohmaterial, Halbfabrikate)</w:t>
            </w:r>
          </w:p>
        </w:tc>
        <w:tc>
          <w:tcPr>
            <w:tcW w:type="dxa" w:w="4536"/>
          </w:tcPr>
          <w:p>
            <w:r>
              <w:rPr>
                <w:rFonts w:ascii="Times New Roman" w:hAnsi="Times New Roman"/>
                <w:sz w:val="20"/>
              </w:rPr>
              <w:t>1,60 Mio. €</w:t>
            </w:r>
          </w:p>
        </w:tc>
      </w:tr>
      <w:tr>
        <w:tc>
          <w:tcPr>
            <w:tcW w:type="dxa" w:w="4536"/>
          </w:tcPr>
          <w:p>
            <w:r>
              <w:rPr>
                <w:rFonts w:ascii="Times New Roman" w:hAnsi="Times New Roman"/>
                <w:sz w:val="20"/>
              </w:rPr>
              <w:t>Forderungen aus Lieferungen und Leistungen (brutto)</w:t>
            </w:r>
          </w:p>
        </w:tc>
        <w:tc>
          <w:tcPr>
            <w:tcW w:type="dxa" w:w="4536"/>
          </w:tcPr>
          <w:p>
            <w:r>
              <w:rPr>
                <w:rFonts w:ascii="Times New Roman" w:hAnsi="Times New Roman"/>
                <w:sz w:val="20"/>
              </w:rPr>
              <w:t>3,24 Mio. €</w:t>
            </w:r>
          </w:p>
        </w:tc>
      </w:tr>
      <w:tr>
        <w:tc>
          <w:tcPr>
            <w:tcW w:type="dxa" w:w="4536"/>
          </w:tcPr>
          <w:p>
            <w:r>
              <w:rPr>
                <w:rFonts w:ascii="Times New Roman" w:hAnsi="Times New Roman"/>
                <w:sz w:val="20"/>
              </w:rPr>
              <w:t>Abzüglich Wertberichtigung</w:t>
            </w:r>
          </w:p>
        </w:tc>
        <w:tc>
          <w:tcPr>
            <w:tcW w:type="dxa" w:w="4536"/>
          </w:tcPr>
          <w:p>
            <w:r>
              <w:rPr>
                <w:rFonts w:ascii="Times New Roman" w:hAnsi="Times New Roman"/>
                <w:sz w:val="20"/>
              </w:rPr>
              <w:t>–0,42 Mio. €</w:t>
            </w:r>
          </w:p>
        </w:tc>
      </w:tr>
      <w:tr>
        <w:tc>
          <w:tcPr>
            <w:tcW w:type="dxa" w:w="4536"/>
          </w:tcPr>
          <w:p>
            <w:r>
              <w:rPr>
                <w:rFonts w:ascii="Times New Roman" w:hAnsi="Times New Roman"/>
                <w:sz w:val="20"/>
              </w:rPr>
              <w:t>Sonstige Forderungen</w:t>
            </w:r>
          </w:p>
        </w:tc>
        <w:tc>
          <w:tcPr>
            <w:tcW w:type="dxa" w:w="4536"/>
          </w:tcPr>
          <w:p>
            <w:r>
              <w:rPr>
                <w:rFonts w:ascii="Times New Roman" w:hAnsi="Times New Roman"/>
                <w:sz w:val="20"/>
              </w:rPr>
              <w:t>0,18 Mio. €</w:t>
            </w:r>
          </w:p>
        </w:tc>
      </w:tr>
      <w:tr>
        <w:tc>
          <w:tcPr>
            <w:tcW w:type="dxa" w:w="4536"/>
          </w:tcPr>
          <w:p>
            <w:r>
              <w:rPr>
                <w:rFonts w:ascii="Times New Roman" w:hAnsi="Times New Roman"/>
                <w:sz w:val="20"/>
              </w:rPr>
              <w:t>Kassenbestand und Bankguthaben</w:t>
            </w:r>
          </w:p>
        </w:tc>
        <w:tc>
          <w:tcPr>
            <w:tcW w:type="dxa" w:w="4536"/>
          </w:tcPr>
          <w:p>
            <w:r>
              <w:rPr>
                <w:rFonts w:ascii="Times New Roman" w:hAnsi="Times New Roman"/>
                <w:sz w:val="20"/>
              </w:rPr>
              <w:t>0,19 Mio. €</w:t>
            </w:r>
          </w:p>
        </w:tc>
      </w:tr>
    </w:tbl>
    <w:p>
      <w:pPr>
        <w:spacing w:line="259" w:lineRule="auto" w:after="60"/>
        <w:jc w:val="left"/>
      </w:pPr>
      <w:r>
        <w:rPr>
          <w:b/>
        </w:rPr>
        <w:t>Hinweis:</w:t>
      </w:r>
      <w:r>
        <w:t xml:space="preserve"> Die Globalzession der NordBank AG erstreckt sich auf alle Forderungen. Ob Eigentumsvorbehalte des Stahlhandel Küste an Halbfabrikaten durchgreifen, ist rechtlich zu klären (verlängerter Eigentumsvorbehalt vs. Verarbeitungsklausel der Bank).</w:t>
      </w:r>
    </w:p>
    <w:p>
      <w:pPr>
        <w:spacing w:line="259" w:lineRule="auto" w:after="60"/>
      </w:pPr>
    </w:p>
    <w:p>
      <w:pPr>
        <w:pStyle w:val="Heading2"/>
        <w:spacing w:line="259" w:lineRule="auto" w:after="60"/>
      </w:pPr>
      <w:r>
        <w:rPr>
          <w:rFonts w:ascii="Times New Roman" w:hAnsi="Times New Roman"/>
        </w:rPr>
        <w:t>6. Marktposition und strategische Perspektive</w:t>
      </w:r>
    </w:p>
    <w:p>
      <w:pPr>
        <w:spacing w:line="259" w:lineRule="auto" w:after="60"/>
        <w:jc w:val="left"/>
      </w:pPr>
      <w:r>
        <w:t>Die Metallbau Hansa GmbH ist regional gut positioniert. Im Großraum Hamburg gibt es nur zwei vergleichbare Anbieter ähnlicher Größe. Die Lieferkompetenz für Bahninfrastruktur (zertifiziert nach DIN EN 1090-2, Ausführungsklasse EXC 3) ist ein Alleinstellungsmerkmal. Der Aufbau des Projektcontrollings und die geplante Einführung von Materialgleitklauseln in alle Neuverträge sind geeignet, die strukturellen Schwächen zu beheben.</w:t>
      </w:r>
    </w:p>
    <w:p>
      <w:pPr>
        <w:spacing w:line="259" w:lineRule="auto" w:after="60"/>
        <w:jc w:val="left"/>
      </w:pPr>
      <w:r>
        <w:t>Bei gesicherter Finanzierung und Abschluss des Sanierungsplans ist die Fortführungsprognose nach Einschätzung des CFO positiv: Umsatz 2026 Plan 19,1 Mio. Euro, EBITDA 0,98 Mio. Euro; 2027 Umsatz 21,5 Mio. Euro, EBITDA 1,8 Mio. Euro. Diese Zahlen basieren auf dem Auftragsbestand und den Preisgleitklauseln der Neuverträge.</w:t>
      </w:r>
    </w:p>
    <w:p>
      <w:pPr>
        <w:spacing w:line="259" w:lineRule="auto" w:after="60"/>
      </w:pPr>
    </w:p>
    <w:p>
      <w:pPr>
        <w:spacing w:line="259" w:lineRule="auto" w:after="60"/>
        <w:jc w:val="left"/>
      </w:pPr>
      <w:r>
        <w:rPr>
          <w:i/>
        </w:rPr>
        <w:t>Erstellt auf Basis mündlicher Angaben der Geschäftsführung und des CFO vom 12. und 14. Mai 2026. Angaben nicht testiert. Vorläufig bis zur Vorlage des geprüften Jahresabschlusses 2025.</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