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Investor Term Sheet – Nordlicht Turnaround Fonds GmbH &amp; Co. KG</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26. Mai 2026</w:t>
      </w:r>
    </w:p>
    <w:p>
      <w:pPr>
        <w:spacing w:before="120" w:after="60" w:line="259" w:lineRule="auto"/>
        <w:jc w:val="left"/>
      </w:pPr>
      <w:r>
        <w:rPr>
          <w:rFonts w:ascii="Times New Roman" w:hAnsi="Times New Roman"/>
          <w:b/>
          <w:sz w:val="22"/>
        </w:rPr>
        <w:t>Version:</w:t>
      </w:r>
      <w:r>
        <w:rPr>
          <w:rFonts w:ascii="Times New Roman" w:hAnsi="Times New Roman"/>
          <w:b/>
          <w:sz w:val="22"/>
        </w:rPr>
        <w:t xml:space="preserve"> 0.3 (Verhandlungsstand)</w:t>
      </w:r>
    </w:p>
    <w:p>
      <w:pPr>
        <w:spacing w:line="259" w:lineRule="auto" w:after="60"/>
        <w:jc w:val="left"/>
      </w:pPr>
      <w:r>
        <w:rPr>
          <w:b/>
        </w:rPr>
        <w:t>Parteien:</w:t>
      </w:r>
      <w:r>
        <w:t xml:space="preserve"> Nordlicht Turnaround Fonds GmbH &amp; Co. KG (nachfolgend "Investor") und Metallbau Hansa GmbH (nachfolgend "Schuldnerin")</w:t>
      </w:r>
    </w:p>
    <w:p>
      <w:pPr>
        <w:spacing w:before="120" w:after="60" w:line="259" w:lineRule="auto"/>
        <w:jc w:val="left"/>
      </w:pPr>
      <w:r>
        <w:rPr>
          <w:rFonts w:ascii="Times New Roman" w:hAnsi="Times New Roman"/>
          <w:b/>
          <w:sz w:val="22"/>
        </w:rPr>
        <w:t>Status:</w:t>
      </w:r>
      <w:r>
        <w:rPr>
          <w:rFonts w:ascii="Times New Roman" w:hAnsi="Times New Roman"/>
          <w:b/>
          <w:sz w:val="22"/>
        </w:rPr>
        <w:t xml:space="preserve"> Nicht bindend; vorbehaltlich finaler Due-Diligence und Planbestätigung</w:t>
      </w:r>
    </w:p>
    <w:p>
      <w:pPr>
        <w:spacing w:line="259" w:lineRule="auto" w:after="60"/>
      </w:pPr>
    </w:p>
    <w:p>
      <w:pPr>
        <w:pStyle w:val="Heading2"/>
        <w:spacing w:before="120" w:after="60" w:line="259" w:lineRule="auto"/>
      </w:pPr>
      <w:r>
        <w:rPr>
          <w:rFonts w:ascii="Times New Roman" w:hAnsi="Times New Roman"/>
          <w:b/>
          <w:sz w:val="22"/>
        </w:rPr>
        <w:t>Präambel</w:t>
      </w:r>
    </w:p>
    <w:p>
      <w:pPr>
        <w:spacing w:line="259" w:lineRule="auto" w:after="60"/>
        <w:jc w:val="left"/>
      </w:pPr>
      <w:r>
        <w:t>Der Investor hat nach ersten Gesprächen im Mai 2026 grundsätzliches Interesse an einer Restrukturierungsfinanzierung der Schuldnerin signalisiert. Das vorliegende Term Sheet fasst die wesentlichen Parameter eines indikativen Angebots zusammen. Es ersetzt keine Rechts- oder Steuerberatung und erzeugt noch keine Bindungswirkung.</w:t>
      </w:r>
    </w:p>
    <w:p>
      <w:pPr>
        <w:spacing w:line="259" w:lineRule="auto" w:after="60"/>
      </w:pPr>
    </w:p>
    <w:p>
      <w:pPr>
        <w:pStyle w:val="Heading2"/>
        <w:spacing w:line="259" w:lineRule="auto" w:after="60"/>
      </w:pPr>
      <w:r>
        <w:rPr>
          <w:rFonts w:ascii="Times New Roman" w:hAnsi="Times New Roman"/>
        </w:rPr>
        <w:t>1. Transaktionsstruktur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Ausgestaltung</w:t>
            </w:r>
          </w:p>
        </w:tc>
      </w:tr>
      <w:tr>
        <w:tc>
          <w:tcPr>
            <w:tcW w:type="dxa" w:w="4536"/>
          </w:tcPr>
          <w:p>
            <w:r>
              <w:rPr>
                <w:rFonts w:ascii="Times New Roman" w:hAnsi="Times New Roman"/>
                <w:sz w:val="20"/>
              </w:rPr>
              <w:t>Investitionsform</w:t>
            </w:r>
          </w:p>
        </w:tc>
        <w:tc>
          <w:tcPr>
            <w:tcW w:type="dxa" w:w="4536"/>
          </w:tcPr>
          <w:p>
            <w:r>
              <w:rPr>
                <w:rFonts w:ascii="Times New Roman" w:hAnsi="Times New Roman"/>
                <w:sz w:val="20"/>
              </w:rPr>
              <w:t>Mezzanine-Darlehen (nachrangig gegenüber NordBank AG, vorrangig gegenüber Gesellschafterdarlehen)</w:t>
            </w:r>
          </w:p>
        </w:tc>
      </w:tr>
      <w:tr>
        <w:tc>
          <w:tcPr>
            <w:tcW w:type="dxa" w:w="4536"/>
          </w:tcPr>
          <w:p>
            <w:r>
              <w:rPr>
                <w:rFonts w:ascii="Times New Roman" w:hAnsi="Times New Roman"/>
                <w:sz w:val="20"/>
              </w:rPr>
              <w:t>Gesamtbetrag</w:t>
            </w:r>
          </w:p>
        </w:tc>
        <w:tc>
          <w:tcPr>
            <w:tcW w:type="dxa" w:w="4536"/>
          </w:tcPr>
          <w:p>
            <w:r>
              <w:rPr>
                <w:rFonts w:ascii="Times New Roman" w:hAnsi="Times New Roman"/>
                <w:sz w:val="20"/>
              </w:rPr>
              <w:t>1.400.000 Euro</w:t>
            </w:r>
          </w:p>
        </w:tc>
      </w:tr>
      <w:tr>
        <w:tc>
          <w:tcPr>
            <w:tcW w:type="dxa" w:w="4536"/>
          </w:tcPr>
          <w:p>
            <w:r>
              <w:rPr>
                <w:rFonts w:ascii="Times New Roman" w:hAnsi="Times New Roman"/>
                <w:sz w:val="20"/>
              </w:rPr>
              <w:t>Tranche 1</w:t>
            </w:r>
          </w:p>
        </w:tc>
        <w:tc>
          <w:tcPr>
            <w:tcW w:type="dxa" w:w="4536"/>
          </w:tcPr>
          <w:p>
            <w:r>
              <w:rPr>
                <w:rFonts w:ascii="Times New Roman" w:hAnsi="Times New Roman"/>
                <w:sz w:val="20"/>
              </w:rPr>
              <w:t>900.000 Euro bei rechtskräftiger Planannahme (Insolvenzplan oder StaRUG-Plan)</w:t>
            </w:r>
          </w:p>
        </w:tc>
      </w:tr>
      <w:tr>
        <w:tc>
          <w:tcPr>
            <w:tcW w:type="dxa" w:w="4536"/>
          </w:tcPr>
          <w:p>
            <w:r>
              <w:rPr>
                <w:rFonts w:ascii="Times New Roman" w:hAnsi="Times New Roman"/>
                <w:sz w:val="20"/>
              </w:rPr>
              <w:t>Tranche 2</w:t>
            </w:r>
          </w:p>
        </w:tc>
        <w:tc>
          <w:tcPr>
            <w:tcW w:type="dxa" w:w="4536"/>
          </w:tcPr>
          <w:p>
            <w:r>
              <w:rPr>
                <w:rFonts w:ascii="Times New Roman" w:hAnsi="Times New Roman"/>
                <w:sz w:val="20"/>
              </w:rPr>
              <w:t>500.000 Euro nach Rechtskraft der Planbestätigung und Erfüllung der Auszahlungsvoraussetzungen</w:t>
            </w:r>
          </w:p>
        </w:tc>
      </w:tr>
      <w:tr>
        <w:tc>
          <w:tcPr>
            <w:tcW w:type="dxa" w:w="4536"/>
          </w:tcPr>
          <w:p>
            <w:r>
              <w:rPr>
                <w:rFonts w:ascii="Times New Roman" w:hAnsi="Times New Roman"/>
                <w:sz w:val="20"/>
              </w:rPr>
              <w:t>Zweck</w:t>
            </w:r>
          </w:p>
        </w:tc>
        <w:tc>
          <w:tcPr>
            <w:tcW w:type="dxa" w:w="4536"/>
          </w:tcPr>
          <w:p>
            <w:r>
              <w:rPr>
                <w:rFonts w:ascii="Times New Roman" w:hAnsi="Times New Roman"/>
                <w:sz w:val="20"/>
              </w:rPr>
              <w:t>Betriebsmittelfinanzierung, Begleichung planmäßiger Erstquoten an Gläubiger, Aufbau Liquiditätspuffer</w:t>
            </w:r>
          </w:p>
        </w:tc>
      </w:tr>
      <w:tr>
        <w:tc>
          <w:tcPr>
            <w:tcW w:type="dxa" w:w="4536"/>
          </w:tcPr>
          <w:p>
            <w:r>
              <w:rPr>
                <w:rFonts w:ascii="Times New Roman" w:hAnsi="Times New Roman"/>
                <w:sz w:val="20"/>
              </w:rPr>
              <w:t>Laufzeit</w:t>
            </w:r>
          </w:p>
        </w:tc>
        <w:tc>
          <w:tcPr>
            <w:tcW w:type="dxa" w:w="4536"/>
          </w:tcPr>
          <w:p>
            <w:r>
              <w:rPr>
                <w:rFonts w:ascii="Times New Roman" w:hAnsi="Times New Roman"/>
                <w:sz w:val="20"/>
              </w:rPr>
              <w:t>48 Monate ab Auszahlung Tranche 1</w:t>
            </w:r>
          </w:p>
        </w:tc>
      </w:tr>
      <w:tr>
        <w:tc>
          <w:tcPr>
            <w:tcW w:type="dxa" w:w="4536"/>
          </w:tcPr>
          <w:p>
            <w:r>
              <w:rPr>
                <w:rFonts w:ascii="Times New Roman" w:hAnsi="Times New Roman"/>
                <w:sz w:val="20"/>
              </w:rPr>
              <w:t>Zinssatz</w:t>
            </w:r>
          </w:p>
        </w:tc>
        <w:tc>
          <w:tcPr>
            <w:tcW w:type="dxa" w:w="4536"/>
          </w:tcPr>
          <w:p>
            <w:r>
              <w:rPr>
                <w:rFonts w:ascii="Times New Roman" w:hAnsi="Times New Roman"/>
                <w:sz w:val="20"/>
              </w:rPr>
              <w:t>7,5 % p.a., zahlbar halbjährlich, erstmals 6 Monate nach Auszahlung Tranche 1</w:t>
            </w:r>
          </w:p>
        </w:tc>
      </w:tr>
      <w:tr>
        <w:tc>
          <w:tcPr>
            <w:tcW w:type="dxa" w:w="4536"/>
          </w:tcPr>
          <w:p>
            <w:r>
              <w:rPr>
                <w:rFonts w:ascii="Times New Roman" w:hAnsi="Times New Roman"/>
                <w:sz w:val="20"/>
              </w:rPr>
              <w:t>PIK-Option</w:t>
            </w:r>
          </w:p>
        </w:tc>
        <w:tc>
          <w:tcPr>
            <w:tcW w:type="dxa" w:w="4536"/>
          </w:tcPr>
          <w:p>
            <w:r>
              <w:rPr>
                <w:rFonts w:ascii="Times New Roman" w:hAnsi="Times New Roman"/>
                <w:sz w:val="20"/>
              </w:rPr>
              <w:t>Zinsen der ersten 12 Monate können PIK (Payment-in-Kind) gestundet werden; Aufschlagszins 1,5 % p.a.</w:t>
            </w:r>
          </w:p>
        </w:tc>
      </w:tr>
      <w:tr>
        <w:tc>
          <w:tcPr>
            <w:tcW w:type="dxa" w:w="4536"/>
          </w:tcPr>
          <w:p>
            <w:r>
              <w:rPr>
                <w:rFonts w:ascii="Times New Roman" w:hAnsi="Times New Roman"/>
                <w:sz w:val="20"/>
              </w:rPr>
              <w:t>Tilgung</w:t>
            </w:r>
          </w:p>
        </w:tc>
        <w:tc>
          <w:tcPr>
            <w:tcW w:type="dxa" w:w="4536"/>
          </w:tcPr>
          <w:p>
            <w:r>
              <w:rPr>
                <w:rFonts w:ascii="Times New Roman" w:hAnsi="Times New Roman"/>
                <w:sz w:val="20"/>
              </w:rPr>
              <w:t>Endfällig nach 48 Monaten (Bullet); optional vorzeitige Tilgung ab Monat 24 ohne Vorfälligkeitsentgelt</w:t>
            </w:r>
          </w:p>
        </w:tc>
      </w:tr>
    </w:tbl>
    <w:p>
      <w:pPr>
        <w:spacing w:line="259" w:lineRule="auto" w:after="60"/>
      </w:pPr>
    </w:p>
    <w:p>
      <w:pPr>
        <w:pStyle w:val="Heading2"/>
        <w:spacing w:line="259" w:lineRule="auto" w:after="60"/>
      </w:pPr>
      <w:r>
        <w:rPr>
          <w:rFonts w:ascii="Times New Roman" w:hAnsi="Times New Roman"/>
        </w:rPr>
        <w:t>2. Auszahlungsvoraussetzungen Tranche 1</w:t>
      </w:r>
    </w:p>
    <w:p>
      <w:pPr>
        <w:spacing w:line="259" w:lineRule="auto" w:after="60"/>
        <w:jc w:val="left"/>
      </w:pPr>
      <w:r>
        <w:t>Die Auszahlung von Tranche 1 setzt kumulativ voraus:</w:t>
      </w:r>
    </w:p>
    <w:p>
      <w:pPr>
        <w:pStyle w:val="ListNumber"/>
        <w:spacing w:line="259" w:lineRule="auto" w:after="60"/>
      </w:pPr>
      <w:r>
        <w:t>Annahme des Insolvenzplans (§ 244 InsO) oder Bestätigung des Restrukturierungsplans (§ 74 StaRUG) in einer für den Investor akzeptablen Form, die insbesondere die nachfolgenden Sicherheitenpositionen enthält.</w:t>
      </w:r>
    </w:p>
    <w:p>
      <w:pPr>
        <w:pStyle w:val="ListNumber"/>
        <w:spacing w:line="259" w:lineRule="auto" w:after="60"/>
      </w:pPr>
      <w:r>
        <w:t>Keine neuen Vollstreckungsmaßnahmen der NordBank AG oder anderer Gläubiger zwischen Unterzeichnung dieses Term Sheets und Auszahlung.</w:t>
      </w:r>
    </w:p>
    <w:p>
      <w:pPr>
        <w:pStyle w:val="ListNumber"/>
        <w:spacing w:line="259" w:lineRule="auto" w:after="60"/>
      </w:pPr>
      <w:r>
        <w:t>Betriebsfortführung der Schuldnerin ohne Produktionsunterbrechung von mehr als fünf Werktagen zwischen Unterzeichnung und Auszahlung.</w:t>
      </w:r>
    </w:p>
    <w:p>
      <w:pPr>
        <w:pStyle w:val="ListNumber"/>
        <w:spacing w:line="259" w:lineRule="auto" w:after="60"/>
      </w:pPr>
      <w:r>
        <w:t>Vorlage einer von Dresen &amp; Partner GmbH WPG bestätigten 13-Wochen-Liquiditätsplanung, die keine negative Unterschreitung der Mindestliquidität von 150.000 Euro ausweist.</w:t>
      </w:r>
    </w:p>
    <w:p>
      <w:pPr>
        <w:pStyle w:val="ListNumber"/>
        <w:spacing w:line="259" w:lineRule="auto" w:after="60"/>
      </w:pPr>
      <w:r>
        <w:t>Abschluss der Sicherheitendokumentation (Ziffer 3).</w:t>
      </w:r>
    </w:p>
    <w:p>
      <w:pPr>
        <w:pStyle w:val="ListNumber"/>
        <w:spacing w:line="259" w:lineRule="auto" w:after="60"/>
      </w:pPr>
      <w:r>
        <w:t>Keine wesentlich nachteilige Veränderung (MAC-Klausel) der wirtschaftlichen Lage der Schuldnerin gegenüber dem Stand per 14. Mai 2026: Umsatz- oder EBITDA-Abweichung von mehr als 20 % gegenüber der Planrechnung berechtigt den Investor zum Rücktritt.</w:t>
      </w:r>
    </w:p>
    <w:p>
      <w:pPr>
        <w:spacing w:line="259" w:lineRule="auto" w:after="60"/>
      </w:pPr>
    </w:p>
    <w:p>
      <w:pPr>
        <w:pStyle w:val="Heading2"/>
        <w:spacing w:line="259" w:lineRule="auto" w:after="60"/>
      </w:pPr>
      <w:r>
        <w:rPr>
          <w:rFonts w:ascii="Times New Roman" w:hAnsi="Times New Roman"/>
        </w:rPr>
        <w:t>3. Sicherheiten</w:t>
      </w:r>
    </w:p>
    <w:p>
      <w:pPr>
        <w:spacing w:line="259" w:lineRule="auto" w:after="60"/>
        <w:jc w:val="left"/>
      </w:pPr>
      <w:r>
        <w:t>Der Investor verlangt folgende Sicherheitenpositionen: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Art</w:t>
            </w:r>
          </w:p>
        </w:tc>
        <w:tc>
          <w:tcPr>
            <w:tcW w:type="dxa" w:w="3024"/>
          </w:tcPr>
          <w:p>
            <w:r>
              <w:rPr>
                <w:rFonts w:ascii="Times New Roman" w:hAnsi="Times New Roman"/>
                <w:b/>
                <w:sz w:val="20"/>
              </w:rPr>
              <w:t>Rang</w:t>
            </w:r>
          </w:p>
        </w:tc>
      </w:tr>
      <w:tr>
        <w:tc>
          <w:tcPr>
            <w:tcW w:type="dxa" w:w="3024"/>
          </w:tcPr>
          <w:p>
            <w:r>
              <w:rPr>
                <w:rFonts w:ascii="Times New Roman" w:hAnsi="Times New Roman"/>
                <w:sz w:val="20"/>
              </w:rPr>
              <w:t>Sicherungsübereignung Maschinenpark (alle CNC-Anlagen)</w:t>
            </w:r>
          </w:p>
        </w:tc>
        <w:tc>
          <w:tcPr>
            <w:tcW w:type="dxa" w:w="3024"/>
          </w:tcPr>
          <w:p>
            <w:r>
              <w:rPr>
                <w:rFonts w:ascii="Times New Roman" w:hAnsi="Times New Roman"/>
                <w:sz w:val="20"/>
              </w:rPr>
              <w:t>Sicherungsübereignung</w:t>
            </w:r>
          </w:p>
        </w:tc>
        <w:tc>
          <w:tcPr>
            <w:tcW w:type="dxa" w:w="3024"/>
          </w:tcPr>
          <w:p>
            <w:r>
              <w:rPr>
                <w:rFonts w:ascii="Times New Roman" w:hAnsi="Times New Roman"/>
                <w:sz w:val="20"/>
              </w:rPr>
              <w:t>2. Rang (nach NordBank AG)</w:t>
            </w:r>
          </w:p>
        </w:tc>
      </w:tr>
      <w:tr>
        <w:tc>
          <w:tcPr>
            <w:tcW w:type="dxa" w:w="3024"/>
          </w:tcPr>
          <w:p>
            <w:r>
              <w:rPr>
                <w:rFonts w:ascii="Times New Roman" w:hAnsi="Times New Roman"/>
                <w:sz w:val="20"/>
              </w:rPr>
              <w:t>Abtretung Auftragserfüllungsforderung Stadtwerke Nord</w:t>
            </w:r>
          </w:p>
        </w:tc>
        <w:tc>
          <w:tcPr>
            <w:tcW w:type="dxa" w:w="3024"/>
          </w:tcPr>
          <w:p>
            <w:r>
              <w:rPr>
                <w:rFonts w:ascii="Times New Roman" w:hAnsi="Times New Roman"/>
                <w:sz w:val="20"/>
              </w:rPr>
              <w:t>Stille Zession</w:t>
            </w:r>
          </w:p>
        </w:tc>
        <w:tc>
          <w:tcPr>
            <w:tcW w:type="dxa" w:w="3024"/>
          </w:tcPr>
          <w:p>
            <w:r>
              <w:rPr>
                <w:rFonts w:ascii="Times New Roman" w:hAnsi="Times New Roman"/>
                <w:sz w:val="20"/>
              </w:rPr>
              <w:t>1. Rang (soweit nicht von NordBank-Globalzession erfasst)</w:t>
            </w:r>
          </w:p>
        </w:tc>
      </w:tr>
      <w:tr>
        <w:tc>
          <w:tcPr>
            <w:tcW w:type="dxa" w:w="3024"/>
          </w:tcPr>
          <w:p>
            <w:r>
              <w:rPr>
                <w:rFonts w:ascii="Times New Roman" w:hAnsi="Times New Roman"/>
                <w:sz w:val="20"/>
              </w:rPr>
              <w:t>Verpfändung Geschäftsanteile der Hansa Beteiligungs UG an Metallbau Hansa GmbH</w:t>
            </w:r>
          </w:p>
        </w:tc>
        <w:tc>
          <w:tcPr>
            <w:tcW w:type="dxa" w:w="3024"/>
          </w:tcPr>
          <w:p>
            <w:r>
              <w:rPr>
                <w:rFonts w:ascii="Times New Roman" w:hAnsi="Times New Roman"/>
                <w:sz w:val="20"/>
              </w:rPr>
              <w:t>Pfandrecht</w:t>
            </w:r>
          </w:p>
        </w:tc>
        <w:tc>
          <w:tcPr>
            <w:tcW w:type="dxa" w:w="3024"/>
          </w:tcPr>
          <w:p>
            <w:r>
              <w:rPr>
                <w:rFonts w:ascii="Times New Roman" w:hAnsi="Times New Roman"/>
                <w:sz w:val="20"/>
              </w:rPr>
              <w:t>1. Rang</w:t>
            </w:r>
          </w:p>
        </w:tc>
      </w:tr>
      <w:tr>
        <w:tc>
          <w:tcPr>
            <w:tcW w:type="dxa" w:w="3024"/>
          </w:tcPr>
          <w:p>
            <w:r>
              <w:rPr>
                <w:rFonts w:ascii="Times New Roman" w:hAnsi="Times New Roman"/>
                <w:sz w:val="20"/>
              </w:rPr>
              <w:t>Gesellschafterbürgschaft Maria Rönsberg</w:t>
            </w:r>
          </w:p>
        </w:tc>
        <w:tc>
          <w:tcPr>
            <w:tcW w:type="dxa" w:w="3024"/>
          </w:tcPr>
          <w:p>
            <w:r>
              <w:rPr>
                <w:rFonts w:ascii="Times New Roman" w:hAnsi="Times New Roman"/>
                <w:sz w:val="20"/>
              </w:rPr>
              <w:t>Bürgschaft (§ 765 BGB)</w:t>
            </w:r>
          </w:p>
        </w:tc>
        <w:tc>
          <w:tcPr>
            <w:tcW w:type="dxa" w:w="3024"/>
          </w:tcPr>
          <w:p>
            <w:r>
              <w:rPr>
                <w:rFonts w:ascii="Times New Roman" w:hAnsi="Times New Roman"/>
                <w:sz w:val="20"/>
              </w:rPr>
              <w:t>unbeschränkt bis 700.000 €</w:t>
            </w:r>
          </w:p>
        </w:tc>
      </w:tr>
    </w:tbl>
    <w:p>
      <w:pPr>
        <w:spacing w:line="259" w:lineRule="auto" w:after="60"/>
        <w:jc w:val="left"/>
      </w:pPr>
      <w:r>
        <w:rPr>
          <w:b/>
        </w:rPr>
        <w:t>Abstimmungsbedarf mit NordBank:</w:t>
      </w:r>
      <w:r>
        <w:t xml:space="preserve"> Die Globalzession der NordBank AG erfasst nach aktuellem Stand alle Forderungen der Schuldnerin. Der Investor besteht darauf, dass im Rahmen des Plans oder einer separaten Sicherheitenvereinbarung eine Freistellung der Stadtwerke-Nord-Forderungen (laufender Rahmenvertrag 2024–2026, Volumen ca. 2,8 Mio. Euro p.a.) für den Investor vereinbart wird. Dies ist ein offener Verhandlungspunkt.</w:t>
      </w:r>
    </w:p>
    <w:p>
      <w:pPr>
        <w:spacing w:line="259" w:lineRule="auto" w:after="60"/>
      </w:pPr>
    </w:p>
    <w:p>
      <w:pPr>
        <w:pStyle w:val="Heading2"/>
        <w:spacing w:line="259" w:lineRule="auto" w:after="60"/>
      </w:pPr>
      <w:r>
        <w:rPr>
          <w:rFonts w:ascii="Times New Roman" w:hAnsi="Times New Roman"/>
        </w:rPr>
        <w:t>4. Covenants (Finanzkennzahlen)</w:t>
      </w:r>
    </w:p>
    <w:p>
      <w:pPr>
        <w:spacing w:line="259" w:lineRule="auto" w:after="60"/>
        <w:jc w:val="left"/>
      </w:pPr>
      <w:r>
        <w:t>Ab Auszahlung Tranche 1 gelten folgende laufende Covenants, gemessen halbjährlich (30. Juni und 31. Dezember):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Kennzahl</w:t>
            </w:r>
          </w:p>
        </w:tc>
        <w:tc>
          <w:tcPr>
            <w:tcW w:type="dxa" w:w="4536"/>
          </w:tcPr>
          <w:p>
            <w:r>
              <w:rPr>
                <w:rFonts w:ascii="Times New Roman" w:hAnsi="Times New Roman"/>
                <w:b/>
                <w:sz w:val="20"/>
              </w:rPr>
              <w:t>Grenzwert</w:t>
            </w:r>
          </w:p>
        </w:tc>
      </w:tr>
      <w:tr>
        <w:tc>
          <w:tcPr>
            <w:tcW w:type="dxa" w:w="4536"/>
          </w:tcPr>
          <w:p>
            <w:r>
              <w:rPr>
                <w:rFonts w:ascii="Times New Roman" w:hAnsi="Times New Roman"/>
                <w:sz w:val="20"/>
              </w:rPr>
              <w:t>Nettoverschuldung / EBITDA</w:t>
            </w:r>
          </w:p>
        </w:tc>
        <w:tc>
          <w:tcPr>
            <w:tcW w:type="dxa" w:w="4536"/>
          </w:tcPr>
          <w:p>
            <w:r>
              <w:rPr>
                <w:rFonts w:ascii="Times New Roman" w:hAnsi="Times New Roman"/>
                <w:sz w:val="20"/>
              </w:rPr>
              <w:t>≤ 4,5x</w:t>
            </w:r>
          </w:p>
        </w:tc>
      </w:tr>
      <w:tr>
        <w:tc>
          <w:tcPr>
            <w:tcW w:type="dxa" w:w="4536"/>
          </w:tcPr>
          <w:p>
            <w:r>
              <w:rPr>
                <w:rFonts w:ascii="Times New Roman" w:hAnsi="Times New Roman"/>
                <w:sz w:val="20"/>
              </w:rPr>
              <w:t>Mindestliquidität (Kassenbestand + freie Kreditlinie)</w:t>
            </w:r>
          </w:p>
        </w:tc>
        <w:tc>
          <w:tcPr>
            <w:tcW w:type="dxa" w:w="4536"/>
          </w:tcPr>
          <w:p>
            <w:r>
              <w:rPr>
                <w:rFonts w:ascii="Times New Roman" w:hAnsi="Times New Roman"/>
                <w:sz w:val="20"/>
              </w:rPr>
              <w:t>≥ 150.000 €</w:t>
            </w:r>
          </w:p>
        </w:tc>
      </w:tr>
      <w:tr>
        <w:tc>
          <w:tcPr>
            <w:tcW w:type="dxa" w:w="4536"/>
          </w:tcPr>
          <w:p>
            <w:r>
              <w:rPr>
                <w:rFonts w:ascii="Times New Roman" w:hAnsi="Times New Roman"/>
                <w:sz w:val="20"/>
              </w:rPr>
              <w:t>Eigenkapitalquote</w:t>
            </w:r>
          </w:p>
        </w:tc>
        <w:tc>
          <w:tcPr>
            <w:tcW w:type="dxa" w:w="4536"/>
          </w:tcPr>
          <w:p>
            <w:r>
              <w:rPr>
                <w:rFonts w:ascii="Times New Roman" w:hAnsi="Times New Roman"/>
                <w:sz w:val="20"/>
              </w:rPr>
              <w:t>≥ 8 %</w:t>
            </w:r>
          </w:p>
        </w:tc>
      </w:tr>
      <w:tr>
        <w:tc>
          <w:tcPr>
            <w:tcW w:type="dxa" w:w="4536"/>
          </w:tcPr>
          <w:p>
            <w:r>
              <w:rPr>
                <w:rFonts w:ascii="Times New Roman" w:hAnsi="Times New Roman"/>
                <w:sz w:val="20"/>
              </w:rPr>
              <w:t>Debitorenlaufzeit</w:t>
            </w:r>
          </w:p>
        </w:tc>
        <w:tc>
          <w:tcPr>
            <w:tcW w:type="dxa" w:w="4536"/>
          </w:tcPr>
          <w:p>
            <w:r>
              <w:rPr>
                <w:rFonts w:ascii="Times New Roman" w:hAnsi="Times New Roman"/>
                <w:sz w:val="20"/>
              </w:rPr>
              <w:t>≤ 60 Tage</w:t>
            </w:r>
          </w:p>
        </w:tc>
      </w:tr>
    </w:tbl>
    <w:p>
      <w:pPr>
        <w:spacing w:line="259" w:lineRule="auto" w:after="60"/>
        <w:jc w:val="left"/>
      </w:pPr>
      <w:r>
        <w:t>Bei Covenant-Verletzung: 30 Tage Heilungsfrist; danach Recht auf Sondertilgung oder Neuverhandlung.</w:t>
      </w:r>
    </w:p>
    <w:p>
      <w:pPr>
        <w:spacing w:line="259" w:lineRule="auto" w:after="60"/>
      </w:pPr>
    </w:p>
    <w:p>
      <w:pPr>
        <w:pStyle w:val="Heading2"/>
        <w:spacing w:line="259" w:lineRule="auto" w:after="60"/>
      </w:pPr>
      <w:r>
        <w:rPr>
          <w:rFonts w:ascii="Times New Roman" w:hAnsi="Times New Roman"/>
        </w:rPr>
        <w:t>5. Informationspflichten und Governance</w:t>
      </w:r>
    </w:p>
    <w:p>
      <w:pPr>
        <w:pStyle w:val="ListBullet"/>
        <w:spacing w:line="259" w:lineRule="auto" w:after="60"/>
      </w:pPr>
      <w:r>
        <w:t>Monatlicher Flash-Bericht (Umsatz, EBITDA, Liquidität) bis zum 15. des Folgemonats.</w:t>
      </w:r>
    </w:p>
    <w:p>
      <w:pPr>
        <w:pStyle w:val="ListBullet"/>
        <w:spacing w:line="259" w:lineRule="auto" w:after="60"/>
      </w:pPr>
      <w:r>
        <w:t>Quartalsabschlüsse (BWA + SuSa) bis zum Ende des Folgemonats.</w:t>
      </w:r>
    </w:p>
    <w:p>
      <w:pPr>
        <w:pStyle w:val="ListBullet"/>
        <w:spacing w:line="259" w:lineRule="auto" w:after="60"/>
      </w:pPr>
      <w:r>
        <w:t>Jahresabschluss geprüft bis zum 30. Juni des Folgejahres.</w:t>
      </w:r>
    </w:p>
    <w:p>
      <w:pPr>
        <w:pStyle w:val="ListBullet"/>
        <w:spacing w:line="259" w:lineRule="auto" w:after="60"/>
      </w:pPr>
      <w:r>
        <w:t>Sofortige Information des Investors bei Zahlungsverzug gegenüber Dritten über 50.000 Euro, bei Vollstreckungsmaßnahmen, bei Kündigung von Schlüsselpersonal (Buchholz, Reimers, Petersen).</w:t>
      </w:r>
    </w:p>
    <w:p>
      <w:pPr>
        <w:pStyle w:val="ListBullet"/>
        <w:spacing w:line="259" w:lineRule="auto" w:after="60"/>
      </w:pPr>
      <w:r>
        <w:t>Recht des Investors auf halbjährliche Vor-Ort-Besichtigung und Einsicht in Bücher (ohne vorherige Ankündigung bei Covenant-Verletzung).</w:t>
      </w:r>
    </w:p>
    <w:p>
      <w:pPr>
        <w:pStyle w:val="ListBullet"/>
        <w:spacing w:line="259" w:lineRule="auto" w:after="60"/>
      </w:pPr>
      <w:r>
        <w:t>Zustimmungsvorbehalt des Investors bei: Investitionen über 200.000 Euro, Neuaufnahme von Fremdkapital über 100.000 Euro, Übertragung wesentlicher Vertragsverhältnisse.</w:t>
      </w:r>
    </w:p>
    <w:p>
      <w:pPr>
        <w:spacing w:line="259" w:lineRule="auto" w:after="60"/>
      </w:pPr>
    </w:p>
    <w:p>
      <w:pPr>
        <w:pStyle w:val="Heading2"/>
        <w:spacing w:line="259" w:lineRule="auto" w:after="60"/>
      </w:pPr>
      <w:r>
        <w:rPr>
          <w:rFonts w:ascii="Times New Roman" w:hAnsi="Times New Roman"/>
        </w:rPr>
        <w:t>6. Exitoptionen des Investors</w:t>
      </w:r>
    </w:p>
    <w:p>
      <w:pPr>
        <w:pStyle w:val="ListBullet"/>
        <w:spacing w:line="259" w:lineRule="auto" w:after="60"/>
      </w:pPr>
      <w:r>
        <w:rPr>
          <w:b/>
        </w:rPr>
        <w:t>Vollrückzahlung</w:t>
      </w:r>
      <w:r>
        <w:t xml:space="preserve"> nach 48 Monaten (Bullet).</w:t>
      </w:r>
    </w:p>
    <w:p>
      <w:pPr>
        <w:pStyle w:val="ListBullet"/>
        <w:spacing w:line="259" w:lineRule="auto" w:after="60"/>
      </w:pPr>
      <w:r>
        <w:rPr>
          <w:b/>
        </w:rPr>
        <w:t>Optionale Wandlung in Beteiligung:</w:t>
      </w:r>
      <w:r>
        <w:t xml:space="preserve"> Der Investor hält sich vor, bei Covenant-Verletzung nach Ablauf der Heilungsfrist das Darlehen in eine stille Beteiligung oder einen Kommanditanteil zu wandeln (Wandlungsrecht, keine Pflicht). Bewertungsgrundlage: Multiple von 4x EBITDA des vorangegangenen Jahres.</w:t>
      </w:r>
    </w:p>
    <w:p>
      <w:pPr>
        <w:pStyle w:val="ListBullet"/>
        <w:spacing w:line="259" w:lineRule="auto" w:after="60"/>
      </w:pPr>
      <w:r>
        <w:rPr>
          <w:b/>
        </w:rPr>
        <w:t>Verkauf Darlehen:</w:t>
      </w:r>
      <w:r>
        <w:t xml:space="preserve"> Der Investor kann das Darlehen an Dritte abtreten; Zustimmung der Schuldnerin nicht erforderlich, aber Information 10 Tage vorab.</w:t>
      </w:r>
    </w:p>
    <w:p>
      <w:pPr>
        <w:spacing w:line="259" w:lineRule="auto" w:after="60"/>
      </w:pPr>
    </w:p>
    <w:p>
      <w:pPr>
        <w:pStyle w:val="Heading2"/>
        <w:spacing w:line="259" w:lineRule="auto" w:after="60"/>
      </w:pPr>
      <w:r>
        <w:rPr>
          <w:rFonts w:ascii="Times New Roman" w:hAnsi="Times New Roman"/>
        </w:rPr>
        <w:t>7. Kosten und Gebühren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Strukturierungsgebühr</w:t>
            </w:r>
          </w:p>
        </w:tc>
        <w:tc>
          <w:tcPr>
            <w:tcW w:type="dxa" w:w="4536"/>
          </w:tcPr>
          <w:p>
            <w:r>
              <w:rPr>
                <w:rFonts w:ascii="Times New Roman" w:hAnsi="Times New Roman"/>
                <w:sz w:val="20"/>
              </w:rPr>
              <w:t>35.000 € (fällig bei Auszahlung Tranche 1, wird auf Darlehen angerechnet)</w:t>
            </w:r>
          </w:p>
        </w:tc>
      </w:tr>
      <w:tr>
        <w:tc>
          <w:tcPr>
            <w:tcW w:type="dxa" w:w="4536"/>
          </w:tcPr>
          <w:p>
            <w:r>
              <w:rPr>
                <w:rFonts w:ascii="Times New Roman" w:hAnsi="Times New Roman"/>
                <w:sz w:val="20"/>
              </w:rPr>
              <w:t>DD-Kosten (Wirtschaftsprüfung, Technik)</w:t>
            </w:r>
          </w:p>
        </w:tc>
        <w:tc>
          <w:tcPr>
            <w:tcW w:type="dxa" w:w="4536"/>
          </w:tcPr>
          <w:p>
            <w:r>
              <w:rPr>
                <w:rFonts w:ascii="Times New Roman" w:hAnsi="Times New Roman"/>
                <w:sz w:val="20"/>
              </w:rPr>
              <w:t>zu Lasten der Schuldnerin, geschätzt 15.000–25.000 €</w:t>
            </w:r>
          </w:p>
        </w:tc>
      </w:tr>
      <w:tr>
        <w:tc>
          <w:tcPr>
            <w:tcW w:type="dxa" w:w="4536"/>
          </w:tcPr>
          <w:p>
            <w:r>
              <w:rPr>
                <w:rFonts w:ascii="Times New Roman" w:hAnsi="Times New Roman"/>
                <w:sz w:val="20"/>
              </w:rPr>
              <w:t>Anwaltskosten des Investors</w:t>
            </w:r>
          </w:p>
        </w:tc>
        <w:tc>
          <w:tcPr>
            <w:tcW w:type="dxa" w:w="4536"/>
          </w:tcPr>
          <w:p>
            <w:r>
              <w:rPr>
                <w:rFonts w:ascii="Times New Roman" w:hAnsi="Times New Roman"/>
                <w:sz w:val="20"/>
              </w:rPr>
              <w:t>zu Lasten der Schuldnerin, geschätzt 20.000–30.000 €</w:t>
            </w:r>
          </w:p>
        </w:tc>
      </w:tr>
      <w:tr>
        <w:tc>
          <w:tcPr>
            <w:tcW w:type="dxa" w:w="4536"/>
          </w:tcPr>
          <w:p>
            <w:r>
              <w:rPr>
                <w:rFonts w:ascii="Times New Roman" w:hAnsi="Times New Roman"/>
                <w:sz w:val="20"/>
              </w:rPr>
              <w:t>Monitoring-Fee</w:t>
            </w:r>
          </w:p>
        </w:tc>
        <w:tc>
          <w:tcPr>
            <w:tcW w:type="dxa" w:w="4536"/>
          </w:tcPr>
          <w:p>
            <w:r>
              <w:rPr>
                <w:rFonts w:ascii="Times New Roman" w:hAnsi="Times New Roman"/>
                <w:sz w:val="20"/>
              </w:rPr>
              <w:t>2.000 €/Quartal ab Auszahlung Tranche 1</w:t>
            </w:r>
          </w:p>
        </w:tc>
      </w:tr>
    </w:tbl>
    <w:p>
      <w:pPr>
        <w:spacing w:line="259" w:lineRule="auto" w:after="60"/>
      </w:pPr>
    </w:p>
    <w:p>
      <w:pPr>
        <w:pStyle w:val="Heading2"/>
        <w:spacing w:line="259" w:lineRule="auto" w:after="60"/>
      </w:pPr>
      <w:r>
        <w:rPr>
          <w:rFonts w:ascii="Times New Roman" w:hAnsi="Times New Roman"/>
        </w:rPr>
        <w:t>8. Offene Punkte und nächste Schritte</w:t>
      </w:r>
    </w:p>
    <w:p>
      <w:pPr>
        <w:spacing w:line="259" w:lineRule="auto" w:after="60"/>
        <w:jc w:val="left"/>
      </w:pPr>
      <w:r>
        <w:t>Die nachfolgenden Punkte sind noch nicht abschließend verhandelt und müssen vor Unterzeichnung einer bindenden Vereinbarung geklärt werden: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Offener Punkt</w:t>
            </w:r>
          </w:p>
        </w:tc>
        <w:tc>
          <w:tcPr>
            <w:tcW w:type="dxa" w:w="3024"/>
          </w:tcPr>
          <w:p>
            <w:r>
              <w:rPr>
                <w:rFonts w:ascii="Times New Roman" w:hAnsi="Times New Roman"/>
                <w:b/>
                <w:sz w:val="20"/>
              </w:rPr>
              <w:t>Wer</w:t>
            </w:r>
          </w:p>
        </w:tc>
        <w:tc>
          <w:tcPr>
            <w:tcW w:type="dxa" w:w="3024"/>
          </w:tcPr>
          <w:p>
            <w:r>
              <w:rPr>
                <w:rFonts w:ascii="Times New Roman" w:hAnsi="Times New Roman"/>
                <w:b/>
                <w:sz w:val="20"/>
              </w:rPr>
              <w:t>Deadline</w:t>
            </w:r>
          </w:p>
        </w:tc>
      </w:tr>
      <w:tr>
        <w:tc>
          <w:tcPr>
            <w:tcW w:type="dxa" w:w="3024"/>
          </w:tcPr>
          <w:p>
            <w:r>
              <w:rPr>
                <w:rFonts w:ascii="Times New Roman" w:hAnsi="Times New Roman"/>
                <w:sz w:val="20"/>
              </w:rPr>
              <w:t>Abstimmung Globalzession mit NordBank AG</w:t>
            </w:r>
          </w:p>
        </w:tc>
        <w:tc>
          <w:tcPr>
            <w:tcW w:type="dxa" w:w="3024"/>
          </w:tcPr>
          <w:p>
            <w:r>
              <w:rPr>
                <w:rFonts w:ascii="Times New Roman" w:hAnsi="Times New Roman"/>
                <w:sz w:val="20"/>
              </w:rPr>
              <w:t>RA Westphal + NordBank-Sanierungsteam</w:t>
            </w:r>
          </w:p>
        </w:tc>
        <w:tc>
          <w:tcPr>
            <w:tcW w:type="dxa" w:w="3024"/>
          </w:tcPr>
          <w:p>
            <w:r>
              <w:rPr>
                <w:rFonts w:ascii="Times New Roman" w:hAnsi="Times New Roman"/>
                <w:sz w:val="20"/>
              </w:rPr>
              <w:t>09.06.2026</w:t>
            </w:r>
          </w:p>
        </w:tc>
      </w:tr>
      <w:tr>
        <w:tc>
          <w:tcPr>
            <w:tcW w:type="dxa" w:w="3024"/>
          </w:tcPr>
          <w:p>
            <w:r>
              <w:rPr>
                <w:rFonts w:ascii="Times New Roman" w:hAnsi="Times New Roman"/>
                <w:sz w:val="20"/>
              </w:rPr>
              <w:t>Rang der Investor-Sicherheit am Maschinenpark</w:t>
            </w:r>
          </w:p>
        </w:tc>
        <w:tc>
          <w:tcPr>
            <w:tcW w:type="dxa" w:w="3024"/>
          </w:tcPr>
          <w:p>
            <w:r>
              <w:rPr>
                <w:rFonts w:ascii="Times New Roman" w:hAnsi="Times New Roman"/>
                <w:sz w:val="20"/>
              </w:rPr>
              <w:t>Gutachter (Sachverständigenbüro Brandt, Hamburg)</w:t>
            </w:r>
          </w:p>
        </w:tc>
        <w:tc>
          <w:tcPr>
            <w:tcW w:type="dxa" w:w="3024"/>
          </w:tcPr>
          <w:p>
            <w:r>
              <w:rPr>
                <w:rFonts w:ascii="Times New Roman" w:hAnsi="Times New Roman"/>
                <w:sz w:val="20"/>
              </w:rPr>
              <w:t>05.06.2026</w:t>
            </w:r>
          </w:p>
        </w:tc>
      </w:tr>
      <w:tr>
        <w:tc>
          <w:tcPr>
            <w:tcW w:type="dxa" w:w="3024"/>
          </w:tcPr>
          <w:p>
            <w:r>
              <w:rPr>
                <w:rFonts w:ascii="Times New Roman" w:hAnsi="Times New Roman"/>
                <w:sz w:val="20"/>
              </w:rPr>
              <w:t>Bewertung Gesellschaftsbürgschaft Rönsberg (Privatvermögen)</w:t>
            </w:r>
          </w:p>
        </w:tc>
        <w:tc>
          <w:tcPr>
            <w:tcW w:type="dxa" w:w="3024"/>
          </w:tcPr>
          <w:p>
            <w:r>
              <w:rPr>
                <w:rFonts w:ascii="Times New Roman" w:hAnsi="Times New Roman"/>
                <w:sz w:val="20"/>
              </w:rPr>
              <w:t>RA Westphal / Investor-Counsel</w:t>
            </w:r>
          </w:p>
        </w:tc>
        <w:tc>
          <w:tcPr>
            <w:tcW w:type="dxa" w:w="3024"/>
          </w:tcPr>
          <w:p>
            <w:r>
              <w:rPr>
                <w:rFonts w:ascii="Times New Roman" w:hAnsi="Times New Roman"/>
                <w:sz w:val="20"/>
              </w:rPr>
              <w:t>09.06.2026</w:t>
            </w:r>
          </w:p>
        </w:tc>
      </w:tr>
      <w:tr>
        <w:tc>
          <w:tcPr>
            <w:tcW w:type="dxa" w:w="3024"/>
          </w:tcPr>
          <w:p>
            <w:r>
              <w:rPr>
                <w:rFonts w:ascii="Times New Roman" w:hAnsi="Times New Roman"/>
                <w:sz w:val="20"/>
              </w:rPr>
              <w:t>Steuerliche Behandlung des Forderungsverzichts (NordBank, Lieferanten)</w:t>
            </w:r>
          </w:p>
        </w:tc>
        <w:tc>
          <w:tcPr>
            <w:tcW w:type="dxa" w:w="3024"/>
          </w:tcPr>
          <w:p>
            <w:r>
              <w:rPr>
                <w:rFonts w:ascii="Times New Roman" w:hAnsi="Times New Roman"/>
                <w:sz w:val="20"/>
              </w:rPr>
              <w:t>StB Dresen</w:t>
            </w:r>
          </w:p>
        </w:tc>
        <w:tc>
          <w:tcPr>
            <w:tcW w:type="dxa" w:w="3024"/>
          </w:tcPr>
          <w:p>
            <w:r>
              <w:rPr>
                <w:rFonts w:ascii="Times New Roman" w:hAnsi="Times New Roman"/>
                <w:sz w:val="20"/>
              </w:rPr>
              <w:t>12.06.2026</w:t>
            </w:r>
          </w:p>
        </w:tc>
      </w:tr>
      <w:tr>
        <w:tc>
          <w:tcPr>
            <w:tcW w:type="dxa" w:w="3024"/>
          </w:tcPr>
          <w:p>
            <w:r>
              <w:rPr>
                <w:rFonts w:ascii="Times New Roman" w:hAnsi="Times New Roman"/>
                <w:sz w:val="20"/>
              </w:rPr>
              <w:t>Sanierungsgewinn § 3a EStG – Antragstellung FA Hamburg</w:t>
            </w:r>
          </w:p>
        </w:tc>
        <w:tc>
          <w:tcPr>
            <w:tcW w:type="dxa" w:w="3024"/>
          </w:tcPr>
          <w:p>
            <w:r>
              <w:rPr>
                <w:rFonts w:ascii="Times New Roman" w:hAnsi="Times New Roman"/>
                <w:sz w:val="20"/>
              </w:rPr>
              <w:t>StB Dresen</w:t>
            </w:r>
          </w:p>
        </w:tc>
        <w:tc>
          <w:tcPr>
            <w:tcW w:type="dxa" w:w="3024"/>
          </w:tcPr>
          <w:p>
            <w:r>
              <w:rPr>
                <w:rFonts w:ascii="Times New Roman" w:hAnsi="Times New Roman"/>
                <w:sz w:val="20"/>
              </w:rPr>
              <w:t>16.06.2026</w:t>
            </w:r>
          </w:p>
        </w:tc>
      </w:tr>
      <w:tr>
        <w:tc>
          <w:tcPr>
            <w:tcW w:type="dxa" w:w="3024"/>
          </w:tcPr>
          <w:p>
            <w:r>
              <w:rPr>
                <w:rFonts w:ascii="Times New Roman" w:hAnsi="Times New Roman"/>
                <w:sz w:val="20"/>
              </w:rPr>
              <w:t>Verhältnis Investor-Darlehen zu Gesellschafterdarlehen: Rangrücktritt schriftlich</w:t>
            </w:r>
          </w:p>
        </w:tc>
        <w:tc>
          <w:tcPr>
            <w:tcW w:type="dxa" w:w="3024"/>
          </w:tcPr>
          <w:p>
            <w:r>
              <w:rPr>
                <w:rFonts w:ascii="Times New Roman" w:hAnsi="Times New Roman"/>
                <w:sz w:val="20"/>
              </w:rPr>
              <w:t>RA Westphal / Maria Rönsberg</w:t>
            </w:r>
          </w:p>
        </w:tc>
        <w:tc>
          <w:tcPr>
            <w:tcW w:type="dxa" w:w="3024"/>
          </w:tcPr>
          <w:p>
            <w:r>
              <w:rPr>
                <w:rFonts w:ascii="Times New Roman" w:hAnsi="Times New Roman"/>
                <w:sz w:val="20"/>
              </w:rPr>
              <w:t>09.06.2026</w:t>
            </w:r>
          </w:p>
        </w:tc>
      </w:tr>
    </w:tbl>
    <w:p>
      <w:pPr>
        <w:spacing w:line="259" w:lineRule="auto" w:after="60"/>
      </w:pPr>
    </w:p>
    <w:p>
      <w:pPr>
        <w:pStyle w:val="Heading2"/>
        <w:spacing w:line="259" w:lineRule="auto" w:after="60"/>
      </w:pPr>
      <w:r>
        <w:rPr>
          <w:rFonts w:ascii="Times New Roman" w:hAnsi="Times New Roman"/>
        </w:rPr>
        <w:t>9. Vertraulichkeit und Ausschließlichkeit</w:t>
      </w:r>
    </w:p>
    <w:p>
      <w:pPr>
        <w:spacing w:line="259" w:lineRule="auto" w:after="60"/>
        <w:jc w:val="left"/>
      </w:pPr>
      <w:r>
        <w:t>Die Parteien vereinbaren während der Laufzeit dieses Term Sheets (bis 30. Juni 2026) gegenseitige Vertraulichkeit. Die Schuldnerin verpflichtet sich, keine parallelen Verhandlungen mit anderen potenziellen Investoren zu führen, ohne den Investor vorab zu informieren. Der Investor verpflichtet sich, seine Due-Diligence-Erkenntnisse nur für Zwecke dieser Transaktion zu verwenden.</w:t>
      </w:r>
    </w:p>
    <w:p>
      <w:pPr>
        <w:spacing w:line="259" w:lineRule="auto" w:after="60"/>
      </w:pPr>
    </w:p>
    <w:p>
      <w:pPr>
        <w:pStyle w:val="Heading2"/>
        <w:spacing w:line="259" w:lineRule="auto" w:after="60"/>
      </w:pPr>
      <w:r>
        <w:rPr>
          <w:rFonts w:ascii="Times New Roman" w:hAnsi="Times New Roman"/>
        </w:rPr>
        <w:t>10. Rechtliches</w:t>
      </w:r>
    </w:p>
    <w:p>
      <w:pPr>
        <w:spacing w:line="259" w:lineRule="auto" w:after="60"/>
        <w:jc w:val="left"/>
      </w:pPr>
      <w:r>
        <w:t>Dieses Term Sheet unterliegt deutschem Recht. Es ist nicht rechtsverbindlich und begründet weder eine Verpflichtung zur Investition noch einen Anspruch der Schuldnerin auf Abschluss einer Transaktion. Alle Angaben basieren auf den der Schuldnerin bereitgestellten Unterlagen und sind vorbehaltlich der Due-Diligence-Ergebnisse.</w:t>
      </w:r>
    </w:p>
    <w:p>
      <w:pPr>
        <w:spacing w:line="259" w:lineRule="auto" w:after="60"/>
      </w:pPr>
    </w:p>
    <w:p>
      <w:pPr>
        <w:spacing w:line="259" w:lineRule="auto" w:after="60"/>
        <w:jc w:val="left"/>
      </w:pPr>
      <w:r>
        <w:rPr>
          <w:b/>
        </w:rPr>
        <w:t>Nordlicht Turnaround Fonds GmbH &amp; Co. KG</w:t>
      </w:r>
    </w:p>
    <w:p>
      <w:pPr>
        <w:spacing w:line="259" w:lineRule="auto" w:after="60"/>
        <w:jc w:val="left"/>
      </w:pPr>
      <w:r>
        <w:t>vertreten durch die Nordlicht Verwaltungs-GmbH, Geschäftsführer: Philipp Gessner</w:t>
      </w:r>
    </w:p>
    <w:p>
      <w:pPr>
        <w:spacing w:line="259" w:lineRule="auto" w:after="60"/>
        <w:jc w:val="left"/>
      </w:pPr>
      <w:r>
        <w:t>Kleiner Kielort 11, 20144 Hamburg</w:t>
      </w:r>
    </w:p>
    <w:p>
      <w:pPr>
        <w:spacing w:line="259" w:lineRule="auto" w:after="60"/>
        <w:jc w:val="left"/>
      </w:pPr>
      <w:r>
        <w:rPr>
          <w:b/>
        </w:rPr>
        <w:t>Metallbau Hansa GmbH</w:t>
      </w:r>
    </w:p>
    <w:p>
      <w:pPr>
        <w:spacing w:line="259" w:lineRule="auto" w:after="60"/>
        <w:jc w:val="left"/>
      </w:pPr>
      <w:r>
        <w:t>vertreten durch Anna Reimers und Lukas Petersen</w:t>
      </w:r>
    </w:p>
    <w:p>
      <w:pPr>
        <w:spacing w:line="259" w:lineRule="auto" w:after="60"/>
        <w:jc w:val="left"/>
      </w:pPr>
      <w:r>
        <w:t>Billbrookdeich 127, 22113 Hamburg</w:t>
      </w:r>
    </w:p>
    <w:p>
      <w:pPr>
        <w:spacing w:line="259" w:lineRule="auto" w:after="60"/>
        <w:jc w:val="left"/>
      </w:pPr>
      <w:r>
        <w:rPr>
          <w:i/>
        </w:rPr>
        <w:t>Unterzeichnung (zur Kenntnis, nicht als Bindung): _________________________ Hamburg, den ___________</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