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Zieloutput-Checkliste – Vollständigkeitsprüfung vor Planeinreichung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13. Juni 2026</w:t>
      </w:r>
    </w:p>
    <w:p>
      <w:pPr>
        <w:spacing w:before="120" w:after="60" w:line="259" w:lineRule="auto"/>
        <w:jc w:val="left"/>
      </w:pPr>
      <w:r>
        <w:rPr>
          <w:rFonts w:ascii="Times New Roman" w:hAnsi="Times New Roman"/>
          <w:b/>
          <w:sz w:val="22"/>
        </w:rPr>
        <w:t>Verfasserin:</w:t>
      </w:r>
      <w:r>
        <w:rPr>
          <w:rFonts w:ascii="Times New Roman" w:hAnsi="Times New Roman"/>
          <w:b/>
          <w:sz w:val="22"/>
        </w:rPr>
        <w:t xml:space="preserve"> RA Dr. Karolin Westphal</w:t>
      </w:r>
    </w:p>
    <w:p>
      <w:pPr>
        <w:spacing w:line="259" w:lineRule="auto" w:after="60"/>
        <w:jc w:val="left"/>
      </w:pPr>
      <w:r>
        <w:rPr>
          <w:b/>
        </w:rPr>
        <w:t>Zweck:</w:t>
      </w:r>
      <w:r>
        <w:t xml:space="preserve"> Vollständigkeitskontrolle aller Pflichtbestandteile des Insolvenzplans gemäß §§ 219 ff. InsO und der ergänzenden Unterlagen für Gericht, Sachwalter und Gläubigerversammlung</w:t>
      </w:r>
    </w:p>
    <w:p>
      <w:pPr>
        <w:spacing w:line="259" w:lineRule="auto" w:after="60"/>
      </w:pPr>
    </w:p>
    <w:p>
      <w:pPr>
        <w:pStyle w:val="Heading2"/>
        <w:spacing w:before="120" w:after="60" w:line="259" w:lineRule="auto"/>
      </w:pPr>
      <w:r>
        <w:rPr>
          <w:rFonts w:ascii="Times New Roman" w:hAnsi="Times New Roman"/>
          <w:b/>
          <w:sz w:val="22"/>
        </w:rPr>
        <w:t>A. Pflichtbestandteile des Insolvenzplans (§§ 219–229 InsO)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w:t>
            </w:r>
          </w:p>
        </w:tc>
        <w:tc>
          <w:tcPr>
            <w:tcW w:type="dxa" w:w="1814"/>
          </w:tcPr>
          <w:p>
            <w:r>
              <w:rPr>
                <w:rFonts w:ascii="Times New Roman" w:hAnsi="Times New Roman"/>
                <w:b/>
                <w:sz w:val="20"/>
              </w:rPr>
              <w:t>Pflichtbestandteil</w:t>
            </w:r>
          </w:p>
        </w:tc>
        <w:tc>
          <w:tcPr>
            <w:tcW w:type="dxa" w:w="1814"/>
          </w:tcPr>
          <w:p>
            <w:r>
              <w:rPr>
                <w:rFonts w:ascii="Times New Roman" w:hAnsi="Times New Roman"/>
                <w:b/>
                <w:sz w:val="20"/>
              </w:rPr>
              <w:t>Rechtsgrundlage</w:t>
            </w:r>
          </w:p>
        </w:tc>
        <w:tc>
          <w:tcPr>
            <w:tcW w:type="dxa" w:w="1814"/>
          </w:tcPr>
          <w:p>
            <w:r>
              <w:rPr>
                <w:rFonts w:ascii="Times New Roman" w:hAnsi="Times New Roman"/>
                <w:b/>
                <w:sz w:val="20"/>
              </w:rPr>
              <w:t>Status</w:t>
            </w:r>
          </w:p>
        </w:tc>
        <w:tc>
          <w:tcPr>
            <w:tcW w:type="dxa" w:w="1814"/>
          </w:tcPr>
          <w:p>
            <w:r>
              <w:rPr>
                <w:rFonts w:ascii="Times New Roman" w:hAnsi="Times New Roman"/>
                <w:b/>
                <w:sz w:val="20"/>
              </w:rPr>
              <w:t>Verweis</w:t>
            </w:r>
          </w:p>
        </w:tc>
      </w:tr>
      <w:tr>
        <w:tc>
          <w:tcPr>
            <w:tcW w:type="dxa" w:w="1814"/>
          </w:tcPr>
          <w:p>
            <w:r>
              <w:rPr>
                <w:rFonts w:ascii="Times New Roman" w:hAnsi="Times New Roman"/>
                <w:sz w:val="20"/>
              </w:rPr>
              <w:t>A1</w:t>
            </w:r>
          </w:p>
        </w:tc>
        <w:tc>
          <w:tcPr>
            <w:tcW w:type="dxa" w:w="1814"/>
          </w:tcPr>
          <w:p>
            <w:r>
              <w:rPr>
                <w:rFonts w:ascii="Times New Roman" w:hAnsi="Times New Roman"/>
                <w:sz w:val="20"/>
              </w:rPr>
              <w:t>Darstellender Teil: Sachverhalt, Krisenursachen, Vermögenslage</w:t>
            </w:r>
          </w:p>
        </w:tc>
        <w:tc>
          <w:tcPr>
            <w:tcW w:type="dxa" w:w="1814"/>
          </w:tcPr>
          <w:p>
            <w:r>
              <w:rPr>
                <w:rFonts w:ascii="Times New Roman" w:hAnsi="Times New Roman"/>
                <w:sz w:val="20"/>
              </w:rPr>
              <w:t>§ 220 InsO</w:t>
            </w:r>
          </w:p>
        </w:tc>
        <w:tc>
          <w:tcPr>
            <w:tcW w:type="dxa" w:w="1814"/>
          </w:tcPr>
          <w:p>
            <w:r>
              <w:rPr>
                <w:rFonts w:ascii="Times New Roman" w:hAnsi="Times New Roman"/>
                <w:sz w:val="20"/>
              </w:rPr>
              <w:t>✓ Rohfassung vollständig</w:t>
            </w:r>
          </w:p>
        </w:tc>
        <w:tc>
          <w:tcPr>
            <w:tcW w:type="dxa" w:w="1814"/>
          </w:tcPr>
          <w:p>
            <w:r>
              <w:rPr>
                <w:rFonts w:ascii="Times New Roman" w:hAnsi="Times New Roman"/>
                <w:sz w:val="20"/>
              </w:rPr>
              <w:t>11_darstellender_teil_rohnotizen.md</w:t>
            </w:r>
          </w:p>
        </w:tc>
      </w:tr>
      <w:tr>
        <w:tc>
          <w:tcPr>
            <w:tcW w:type="dxa" w:w="1814"/>
          </w:tcPr>
          <w:p>
            <w:r>
              <w:rPr>
                <w:rFonts w:ascii="Times New Roman" w:hAnsi="Times New Roman"/>
                <w:sz w:val="20"/>
              </w:rPr>
              <w:t>A2</w:t>
            </w:r>
          </w:p>
        </w:tc>
        <w:tc>
          <w:tcPr>
            <w:tcW w:type="dxa" w:w="1814"/>
          </w:tcPr>
          <w:p>
            <w:r>
              <w:rPr>
                <w:rFonts w:ascii="Times New Roman" w:hAnsi="Times New Roman"/>
                <w:sz w:val="20"/>
              </w:rPr>
              <w:t>Darstellender Teil: Fortführungsprognose mit Planzahlen</w:t>
            </w:r>
          </w:p>
        </w:tc>
        <w:tc>
          <w:tcPr>
            <w:tcW w:type="dxa" w:w="1814"/>
          </w:tcPr>
          <w:p>
            <w:r>
              <w:rPr>
                <w:rFonts w:ascii="Times New Roman" w:hAnsi="Times New Roman"/>
                <w:sz w:val="20"/>
              </w:rPr>
              <w:t>§ 220 Abs. 2 InsO</w:t>
            </w:r>
          </w:p>
        </w:tc>
        <w:tc>
          <w:tcPr>
            <w:tcW w:type="dxa" w:w="1814"/>
          </w:tcPr>
          <w:p>
            <w:r>
              <w:rPr>
                <w:rFonts w:ascii="Times New Roman" w:hAnsi="Times New Roman"/>
                <w:sz w:val="20"/>
              </w:rPr>
              <w:t>✓ Planzahlen vorhanden</w:t>
            </w:r>
          </w:p>
        </w:tc>
        <w:tc>
          <w:tcPr>
            <w:tcW w:type="dxa" w:w="1814"/>
          </w:tcPr>
          <w:p>
            <w:r>
              <w:rPr>
                <w:rFonts w:ascii="Times New Roman" w:hAnsi="Times New Roman"/>
                <w:sz w:val="20"/>
              </w:rPr>
              <w:t>11_...</w:t>
            </w:r>
            <w:r>
              <w:rPr>
                <w:rFonts w:ascii="Times New Roman" w:hAnsi="Times New Roman"/>
                <w:sz w:val="20"/>
              </w:rPr>
              <w:t xml:space="preserve">, </w:t>
            </w:r>
            <w:r>
              <w:rPr>
                <w:rFonts w:ascii="Times New Roman" w:hAnsi="Times New Roman"/>
                <w:sz w:val="20"/>
              </w:rPr>
              <w:t>05_bwa_susa_auszug.csv</w:t>
            </w:r>
          </w:p>
        </w:tc>
      </w:tr>
      <w:tr>
        <w:tc>
          <w:tcPr>
            <w:tcW w:type="dxa" w:w="1814"/>
          </w:tcPr>
          <w:p>
            <w:r>
              <w:rPr>
                <w:rFonts w:ascii="Times New Roman" w:hAnsi="Times New Roman"/>
                <w:sz w:val="20"/>
              </w:rPr>
              <w:t>A3</w:t>
            </w:r>
          </w:p>
        </w:tc>
        <w:tc>
          <w:tcPr>
            <w:tcW w:type="dxa" w:w="1814"/>
          </w:tcPr>
          <w:p>
            <w:r>
              <w:rPr>
                <w:rFonts w:ascii="Times New Roman" w:hAnsi="Times New Roman"/>
                <w:sz w:val="20"/>
              </w:rPr>
              <w:t>Gestaltender Teil: Rechtsänderungen je Gruppe bestimmt und beziffert</w:t>
            </w:r>
          </w:p>
        </w:tc>
        <w:tc>
          <w:tcPr>
            <w:tcW w:type="dxa" w:w="1814"/>
          </w:tcPr>
          <w:p>
            <w:r>
              <w:rPr>
                <w:rFonts w:ascii="Times New Roman" w:hAnsi="Times New Roman"/>
                <w:sz w:val="20"/>
              </w:rPr>
              <w:t>§ 221 InsO</w:t>
            </w:r>
          </w:p>
        </w:tc>
        <w:tc>
          <w:tcPr>
            <w:tcW w:type="dxa" w:w="1814"/>
          </w:tcPr>
          <w:p>
            <w:r>
              <w:rPr>
                <w:rFonts w:ascii="Times New Roman" w:hAnsi="Times New Roman"/>
                <w:sz w:val="20"/>
              </w:rPr>
              <w:t>✓ Entwurf vorhanden</w:t>
            </w:r>
          </w:p>
        </w:tc>
        <w:tc>
          <w:tcPr>
            <w:tcW w:type="dxa" w:w="1814"/>
          </w:tcPr>
          <w:p>
            <w:r>
              <w:rPr>
                <w:rFonts w:ascii="Times New Roman" w:hAnsi="Times New Roman"/>
                <w:sz w:val="20"/>
              </w:rPr>
              <w:t>12_gestaltender_teil_klauselideen.md</w:t>
            </w:r>
          </w:p>
        </w:tc>
      </w:tr>
      <w:tr>
        <w:tc>
          <w:tcPr>
            <w:tcW w:type="dxa" w:w="1814"/>
          </w:tcPr>
          <w:p>
            <w:r>
              <w:rPr>
                <w:rFonts w:ascii="Times New Roman" w:hAnsi="Times New Roman"/>
                <w:sz w:val="20"/>
              </w:rPr>
              <w:t>A4</w:t>
            </w:r>
          </w:p>
        </w:tc>
        <w:tc>
          <w:tcPr>
            <w:tcW w:type="dxa" w:w="1814"/>
          </w:tcPr>
          <w:p>
            <w:r>
              <w:rPr>
                <w:rFonts w:ascii="Times New Roman" w:hAnsi="Times New Roman"/>
                <w:sz w:val="20"/>
              </w:rPr>
              <w:t>Gruppenbildung mit Begründung</w:t>
            </w:r>
          </w:p>
        </w:tc>
        <w:tc>
          <w:tcPr>
            <w:tcW w:type="dxa" w:w="1814"/>
          </w:tcPr>
          <w:p>
            <w:r>
              <w:rPr>
                <w:rFonts w:ascii="Times New Roman" w:hAnsi="Times New Roman"/>
                <w:sz w:val="20"/>
              </w:rPr>
              <w:t>§ 222 InsO</w:t>
            </w:r>
          </w:p>
        </w:tc>
        <w:tc>
          <w:tcPr>
            <w:tcW w:type="dxa" w:w="1814"/>
          </w:tcPr>
          <w:p>
            <w:r>
              <w:rPr>
                <w:rFonts w:ascii="Times New Roman" w:hAnsi="Times New Roman"/>
                <w:sz w:val="20"/>
              </w:rPr>
              <w:t>✓ Fünf Gruppen begründet</w:t>
            </w:r>
          </w:p>
        </w:tc>
        <w:tc>
          <w:tcPr>
            <w:tcW w:type="dxa" w:w="1814"/>
          </w:tcPr>
          <w:p>
            <w:r>
              <w:rPr>
                <w:rFonts w:ascii="Times New Roman" w:hAnsi="Times New Roman"/>
                <w:sz w:val="20"/>
              </w:rPr>
              <w:t>10_gruppen_klassen_entwurf.md</w:t>
            </w:r>
          </w:p>
        </w:tc>
      </w:tr>
      <w:tr>
        <w:tc>
          <w:tcPr>
            <w:tcW w:type="dxa" w:w="1814"/>
          </w:tcPr>
          <w:p>
            <w:r>
              <w:rPr>
                <w:rFonts w:ascii="Times New Roman" w:hAnsi="Times New Roman"/>
                <w:sz w:val="20"/>
              </w:rPr>
              <w:t>A5</w:t>
            </w:r>
          </w:p>
        </w:tc>
        <w:tc>
          <w:tcPr>
            <w:tcW w:type="dxa" w:w="1814"/>
          </w:tcPr>
          <w:p>
            <w:r>
              <w:rPr>
                <w:rFonts w:ascii="Times New Roman" w:hAnsi="Times New Roman"/>
                <w:sz w:val="20"/>
              </w:rPr>
              <w:t>Vergleichsrechnung je Gruppe (Plan vs. beste Alternative)</w:t>
            </w:r>
          </w:p>
        </w:tc>
        <w:tc>
          <w:tcPr>
            <w:tcW w:type="dxa" w:w="1814"/>
          </w:tcPr>
          <w:p>
            <w:r>
              <w:rPr>
                <w:rFonts w:ascii="Times New Roman" w:hAnsi="Times New Roman"/>
                <w:sz w:val="20"/>
              </w:rPr>
              <w:t>§ 220 Abs. 2 InsO</w:t>
            </w:r>
          </w:p>
        </w:tc>
        <w:tc>
          <w:tcPr>
            <w:tcW w:type="dxa" w:w="1814"/>
          </w:tcPr>
          <w:p>
            <w:r>
              <w:rPr>
                <w:rFonts w:ascii="Times New Roman" w:hAnsi="Times New Roman"/>
                <w:sz w:val="20"/>
              </w:rPr>
              <w:t>⚠ Übertragungsszenario fehlt noch</w:t>
            </w:r>
          </w:p>
        </w:tc>
        <w:tc>
          <w:tcPr>
            <w:tcW w:type="dxa" w:w="1814"/>
          </w:tcPr>
          <w:p>
            <w:r>
              <w:rPr>
                <w:rFonts w:ascii="Times New Roman" w:hAnsi="Times New Roman"/>
                <w:sz w:val="20"/>
              </w:rPr>
              <w:t>09_vergleichsrechnung_arbeitsstand.csv</w:t>
            </w:r>
          </w:p>
        </w:tc>
      </w:tr>
      <w:tr>
        <w:tc>
          <w:tcPr>
            <w:tcW w:type="dxa" w:w="1814"/>
          </w:tcPr>
          <w:p>
            <w:r>
              <w:rPr>
                <w:rFonts w:ascii="Times New Roman" w:hAnsi="Times New Roman"/>
                <w:sz w:val="20"/>
              </w:rPr>
              <w:t>A6</w:t>
            </w:r>
          </w:p>
        </w:tc>
        <w:tc>
          <w:tcPr>
            <w:tcW w:type="dxa" w:w="1814"/>
          </w:tcPr>
          <w:p>
            <w:r>
              <w:rPr>
                <w:rFonts w:ascii="Times New Roman" w:hAnsi="Times New Roman"/>
                <w:sz w:val="20"/>
              </w:rPr>
              <w:t>Erklärung Planunterstützung Gesellschafterin</w:t>
            </w:r>
          </w:p>
        </w:tc>
        <w:tc>
          <w:tcPr>
            <w:tcW w:type="dxa" w:w="1814"/>
          </w:tcPr>
          <w:p>
            <w:r>
              <w:rPr>
                <w:rFonts w:ascii="Times New Roman" w:hAnsi="Times New Roman"/>
                <w:sz w:val="20"/>
              </w:rPr>
              <w:t>§ 229 InsO</w:t>
            </w:r>
          </w:p>
        </w:tc>
        <w:tc>
          <w:tcPr>
            <w:tcW w:type="dxa" w:w="1814"/>
          </w:tcPr>
          <w:p>
            <w:r>
              <w:rPr>
                <w:rFonts w:ascii="Times New Roman" w:hAnsi="Times New Roman"/>
                <w:sz w:val="20"/>
              </w:rPr>
              <w:t>⚠ Ausstehend (bis 14.06.2026)</w:t>
            </w:r>
          </w:p>
        </w:tc>
        <w:tc>
          <w:tcPr>
            <w:tcW w:type="dxa" w:w="1814"/>
          </w:tcPr>
          <w:p>
            <w:r>
              <w:rPr>
                <w:rFonts w:ascii="Times New Roman" w:hAnsi="Times New Roman"/>
                <w:sz w:val="20"/>
              </w:rPr>
              <w:t>–</w:t>
            </w:r>
          </w:p>
        </w:tc>
      </w:tr>
      <w:tr>
        <w:tc>
          <w:tcPr>
            <w:tcW w:type="dxa" w:w="1814"/>
          </w:tcPr>
          <w:p>
            <w:r>
              <w:rPr>
                <w:rFonts w:ascii="Times New Roman" w:hAnsi="Times New Roman"/>
                <w:sz w:val="20"/>
              </w:rPr>
              <w:t>A7</w:t>
            </w:r>
          </w:p>
        </w:tc>
        <w:tc>
          <w:tcPr>
            <w:tcW w:type="dxa" w:w="1814"/>
          </w:tcPr>
          <w:p>
            <w:r>
              <w:rPr>
                <w:rFonts w:ascii="Times New Roman" w:hAnsi="Times New Roman"/>
                <w:sz w:val="20"/>
              </w:rPr>
              <w:t>Plananlage: Verzichtserklärung Gesellschafterdarlehen</w:t>
            </w:r>
          </w:p>
        </w:tc>
        <w:tc>
          <w:tcPr>
            <w:tcW w:type="dxa" w:w="1814"/>
          </w:tcPr>
          <w:p>
            <w:r>
              <w:rPr>
                <w:rFonts w:ascii="Times New Roman" w:hAnsi="Times New Roman"/>
                <w:sz w:val="20"/>
              </w:rPr>
              <w:t>§ 229 S. 2 InsO</w:t>
            </w:r>
          </w:p>
        </w:tc>
        <w:tc>
          <w:tcPr>
            <w:tcW w:type="dxa" w:w="1814"/>
          </w:tcPr>
          <w:p>
            <w:r>
              <w:rPr>
                <w:rFonts w:ascii="Times New Roman" w:hAnsi="Times New Roman"/>
                <w:sz w:val="20"/>
              </w:rPr>
              <w:t>⚠ Ausstehend (notariell)</w:t>
            </w:r>
          </w:p>
        </w:tc>
        <w:tc>
          <w:tcPr>
            <w:tcW w:type="dxa" w:w="1814"/>
          </w:tcPr>
          <w:p>
            <w:r>
              <w:rPr>
                <w:rFonts w:ascii="Times New Roman" w:hAnsi="Times New Roman"/>
                <w:sz w:val="20"/>
              </w:rPr>
              <w:t>–</w:t>
            </w:r>
          </w:p>
        </w:tc>
      </w:tr>
      <w:tr>
        <w:tc>
          <w:tcPr>
            <w:tcW w:type="dxa" w:w="1814"/>
          </w:tcPr>
          <w:p>
            <w:r>
              <w:rPr>
                <w:rFonts w:ascii="Times New Roman" w:hAnsi="Times New Roman"/>
                <w:sz w:val="20"/>
              </w:rPr>
              <w:t>A8</w:t>
            </w:r>
          </w:p>
        </w:tc>
        <w:tc>
          <w:tcPr>
            <w:tcW w:type="dxa" w:w="1814"/>
          </w:tcPr>
          <w:p>
            <w:r>
              <w:rPr>
                <w:rFonts w:ascii="Times New Roman" w:hAnsi="Times New Roman"/>
                <w:sz w:val="20"/>
              </w:rPr>
              <w:t>Plananlage: Gutachten Sachanlagen (Brandt)</w:t>
            </w:r>
          </w:p>
        </w:tc>
        <w:tc>
          <w:tcPr>
            <w:tcW w:type="dxa" w:w="1814"/>
          </w:tcPr>
          <w:p>
            <w:r>
              <w:rPr>
                <w:rFonts w:ascii="Times New Roman" w:hAnsi="Times New Roman"/>
                <w:sz w:val="20"/>
              </w:rPr>
              <w:t>§ 220 Abs. 2 InsO</w:t>
            </w:r>
          </w:p>
        </w:tc>
        <w:tc>
          <w:tcPr>
            <w:tcW w:type="dxa" w:w="1814"/>
          </w:tcPr>
          <w:p>
            <w:r>
              <w:rPr>
                <w:rFonts w:ascii="Times New Roman" w:hAnsi="Times New Roman"/>
                <w:sz w:val="20"/>
              </w:rPr>
              <w:t>✓ Entwurf liegt vor</w:t>
            </w:r>
          </w:p>
        </w:tc>
        <w:tc>
          <w:tcPr>
            <w:tcW w:type="dxa" w:w="1814"/>
          </w:tcPr>
          <w:p>
            <w:r>
              <w:rPr>
                <w:rFonts w:ascii="Times New Roman" w:hAnsi="Times New Roman"/>
                <w:sz w:val="20"/>
              </w:rPr>
              <w:t>14_sicherheitenbewertung.md</w:t>
            </w:r>
          </w:p>
        </w:tc>
      </w:tr>
      <w:tr>
        <w:tc>
          <w:tcPr>
            <w:tcW w:type="dxa" w:w="1814"/>
          </w:tcPr>
          <w:p>
            <w:r>
              <w:rPr>
                <w:rFonts w:ascii="Times New Roman" w:hAnsi="Times New Roman"/>
                <w:sz w:val="20"/>
              </w:rPr>
              <w:t>A9</w:t>
            </w:r>
          </w:p>
        </w:tc>
        <w:tc>
          <w:tcPr>
            <w:tcW w:type="dxa" w:w="1814"/>
          </w:tcPr>
          <w:p>
            <w:r>
              <w:rPr>
                <w:rFonts w:ascii="Times New Roman" w:hAnsi="Times New Roman"/>
                <w:sz w:val="20"/>
              </w:rPr>
              <w:t>Plananlage: Term Sheet Investor</w:t>
            </w:r>
          </w:p>
        </w:tc>
        <w:tc>
          <w:tcPr>
            <w:tcW w:type="dxa" w:w="1814"/>
          </w:tcPr>
          <w:p>
            <w:r>
              <w:rPr>
                <w:rFonts w:ascii="Times New Roman" w:hAnsi="Times New Roman"/>
                <w:sz w:val="20"/>
              </w:rPr>
              <w:t>Praxis</w:t>
            </w:r>
          </w:p>
        </w:tc>
        <w:tc>
          <w:tcPr>
            <w:tcW w:type="dxa" w:w="1814"/>
          </w:tcPr>
          <w:p>
            <w:r>
              <w:rPr>
                <w:rFonts w:ascii="Times New Roman" w:hAnsi="Times New Roman"/>
                <w:sz w:val="20"/>
              </w:rPr>
              <w:t>✓ Vorliegend</w:t>
            </w:r>
          </w:p>
        </w:tc>
        <w:tc>
          <w:tcPr>
            <w:tcW w:type="dxa" w:w="1814"/>
          </w:tcPr>
          <w:p>
            <w:r>
              <w:rPr>
                <w:rFonts w:ascii="Times New Roman" w:hAnsi="Times New Roman"/>
                <w:sz w:val="20"/>
              </w:rPr>
              <w:t>08_investor_term_sheet.md</w:t>
            </w:r>
          </w:p>
        </w:tc>
      </w:tr>
      <w:tr>
        <w:tc>
          <w:tcPr>
            <w:tcW w:type="dxa" w:w="1814"/>
          </w:tcPr>
          <w:p>
            <w:r>
              <w:rPr>
                <w:rFonts w:ascii="Times New Roman" w:hAnsi="Times New Roman"/>
                <w:sz w:val="20"/>
              </w:rPr>
              <w:t>A10</w:t>
            </w:r>
          </w:p>
        </w:tc>
        <w:tc>
          <w:tcPr>
            <w:tcW w:type="dxa" w:w="1814"/>
          </w:tcPr>
          <w:p>
            <w:r>
              <w:rPr>
                <w:rFonts w:ascii="Times New Roman" w:hAnsi="Times New Roman"/>
                <w:sz w:val="20"/>
              </w:rPr>
              <w:t>Plananlage: Liquiditätsplanung 13 Wochen</w:t>
            </w:r>
          </w:p>
        </w:tc>
        <w:tc>
          <w:tcPr>
            <w:tcW w:type="dxa" w:w="1814"/>
          </w:tcPr>
          <w:p>
            <w:r>
              <w:rPr>
                <w:rFonts w:ascii="Times New Roman" w:hAnsi="Times New Roman"/>
                <w:sz w:val="20"/>
              </w:rPr>
              <w:t>Praxis / § 270a InsO</w:t>
            </w:r>
          </w:p>
        </w:tc>
        <w:tc>
          <w:tcPr>
            <w:tcW w:type="dxa" w:w="1814"/>
          </w:tcPr>
          <w:p>
            <w:r>
              <w:rPr>
                <w:rFonts w:ascii="Times New Roman" w:hAnsi="Times New Roman"/>
                <w:sz w:val="20"/>
              </w:rPr>
              <w:t>✓ Vollständig</w:t>
            </w:r>
          </w:p>
        </w:tc>
        <w:tc>
          <w:tcPr>
            <w:tcW w:type="dxa" w:w="1814"/>
          </w:tcPr>
          <w:p>
            <w:r>
              <w:rPr>
                <w:rFonts w:ascii="Times New Roman" w:hAnsi="Times New Roman"/>
                <w:sz w:val="20"/>
              </w:rPr>
              <w:t>03_liquiditaetsstatus.csv</w:t>
            </w:r>
          </w:p>
        </w:tc>
      </w:tr>
      <w:tr>
        <w:tc>
          <w:tcPr>
            <w:tcW w:type="dxa" w:w="1814"/>
          </w:tcPr>
          <w:p>
            <w:r>
              <w:rPr>
                <w:rFonts w:ascii="Times New Roman" w:hAnsi="Times New Roman"/>
                <w:sz w:val="20"/>
              </w:rPr>
              <w:t>A11</w:t>
            </w:r>
          </w:p>
        </w:tc>
        <w:tc>
          <w:tcPr>
            <w:tcW w:type="dxa" w:w="1814"/>
          </w:tcPr>
          <w:p>
            <w:r>
              <w:rPr>
                <w:rFonts w:ascii="Times New Roman" w:hAnsi="Times New Roman"/>
                <w:sz w:val="20"/>
              </w:rPr>
              <w:t>Plananlage: Jahresabschluss 2024 (sofern aufgestellt)</w:t>
            </w:r>
          </w:p>
        </w:tc>
        <w:tc>
          <w:tcPr>
            <w:tcW w:type="dxa" w:w="1814"/>
          </w:tcPr>
          <w:p>
            <w:r>
              <w:rPr>
                <w:rFonts w:ascii="Times New Roman" w:hAnsi="Times New Roman"/>
                <w:sz w:val="20"/>
              </w:rPr>
              <w:t>§ 220 Abs. 2 InsO</w:t>
            </w:r>
          </w:p>
        </w:tc>
        <w:tc>
          <w:tcPr>
            <w:tcW w:type="dxa" w:w="1814"/>
          </w:tcPr>
          <w:p>
            <w:r>
              <w:rPr>
                <w:rFonts w:ascii="Times New Roman" w:hAnsi="Times New Roman"/>
                <w:sz w:val="20"/>
              </w:rPr>
              <w:t>⚠ Noch nicht testiert; vorläufige BWA ausreichend</w:t>
            </w:r>
          </w:p>
        </w:tc>
        <w:tc>
          <w:tcPr>
            <w:tcW w:type="dxa" w:w="1814"/>
          </w:tcPr>
          <w:p>
            <w:r>
              <w:rPr>
                <w:rFonts w:ascii="Times New Roman" w:hAnsi="Times New Roman"/>
                <w:sz w:val="20"/>
              </w:rPr>
              <w:t>05_bwa_susa_auszug.csv</w:t>
            </w:r>
          </w:p>
        </w:tc>
      </w:tr>
      <w:tr>
        <w:tc>
          <w:tcPr>
            <w:tcW w:type="dxa" w:w="1814"/>
          </w:tcPr>
          <w:p>
            <w:r>
              <w:rPr>
                <w:rFonts w:ascii="Times New Roman" w:hAnsi="Times New Roman"/>
                <w:sz w:val="20"/>
              </w:rPr>
              <w:t>A12</w:t>
            </w:r>
          </w:p>
        </w:tc>
        <w:tc>
          <w:tcPr>
            <w:tcW w:type="dxa" w:w="1814"/>
          </w:tcPr>
          <w:p>
            <w:r>
              <w:rPr>
                <w:rFonts w:ascii="Times New Roman" w:hAnsi="Times New Roman"/>
                <w:sz w:val="20"/>
              </w:rPr>
              <w:t>Plananlage: Masseplan (Masseverbindlichkeiten und Massesicherung)</w:t>
            </w:r>
          </w:p>
        </w:tc>
        <w:tc>
          <w:tcPr>
            <w:tcW w:type="dxa" w:w="1814"/>
          </w:tcPr>
          <w:p>
            <w:r>
              <w:rPr>
                <w:rFonts w:ascii="Times New Roman" w:hAnsi="Times New Roman"/>
                <w:sz w:val="20"/>
              </w:rPr>
              <w:t>§ 270a Abs. 1 S. 2 Nr. 2 InsO</w:t>
            </w:r>
          </w:p>
        </w:tc>
        <w:tc>
          <w:tcPr>
            <w:tcW w:type="dxa" w:w="1814"/>
          </w:tcPr>
          <w:p>
            <w:r>
              <w:rPr>
                <w:rFonts w:ascii="Times New Roman" w:hAnsi="Times New Roman"/>
                <w:sz w:val="20"/>
              </w:rPr>
              <w:t>⚠ In Vorbereitung (CFO Hollender)</w:t>
            </w:r>
          </w:p>
        </w:tc>
        <w:tc>
          <w:tcPr>
            <w:tcW w:type="dxa" w:w="1814"/>
          </w:tcPr>
          <w:p>
            <w:r>
              <w:rPr>
                <w:rFonts w:ascii="Times New Roman" w:hAnsi="Times New Roman"/>
                <w:sz w:val="20"/>
              </w:rPr>
              <w:t>–</w:t>
            </w:r>
          </w:p>
        </w:tc>
      </w:tr>
      <w:tr>
        <w:tc>
          <w:tcPr>
            <w:tcW w:type="dxa" w:w="1814"/>
          </w:tcPr>
          <w:p>
            <w:r>
              <w:rPr>
                <w:rFonts w:ascii="Times New Roman" w:hAnsi="Times New Roman"/>
                <w:sz w:val="20"/>
              </w:rPr>
              <w:t>A13</w:t>
            </w:r>
          </w:p>
        </w:tc>
        <w:tc>
          <w:tcPr>
            <w:tcW w:type="dxa" w:w="1814"/>
          </w:tcPr>
          <w:p>
            <w:r>
              <w:rPr>
                <w:rFonts w:ascii="Times New Roman" w:hAnsi="Times New Roman"/>
                <w:sz w:val="20"/>
              </w:rPr>
              <w:t>Plananlage: Anfechtungsansprüche und Sonderaktiva</w:t>
            </w:r>
          </w:p>
        </w:tc>
        <w:tc>
          <w:tcPr>
            <w:tcW w:type="dxa" w:w="1814"/>
          </w:tcPr>
          <w:p>
            <w:r>
              <w:rPr>
                <w:rFonts w:ascii="Times New Roman" w:hAnsi="Times New Roman"/>
                <w:sz w:val="20"/>
              </w:rPr>
              <w:t>Praxis</w:t>
            </w:r>
          </w:p>
        </w:tc>
        <w:tc>
          <w:tcPr>
            <w:tcW w:type="dxa" w:w="1814"/>
          </w:tcPr>
          <w:p>
            <w:r>
              <w:rPr>
                <w:rFonts w:ascii="Times New Roman" w:hAnsi="Times New Roman"/>
                <w:sz w:val="20"/>
              </w:rPr>
              <w:t>⚠ Noch nicht quantifiziert</w:t>
            </w:r>
          </w:p>
        </w:tc>
        <w:tc>
          <w:tcPr>
            <w:tcW w:type="dxa" w:w="1814"/>
          </w:tcPr>
          <w:p>
            <w:r>
              <w:rPr>
                <w:rFonts w:ascii="Times New Roman" w:hAnsi="Times New Roman"/>
                <w:sz w:val="20"/>
              </w:rPr>
              <w:t>11_...</w:t>
            </w:r>
            <w:r>
              <w:rPr>
                <w:rFonts w:ascii="Times New Roman" w:hAnsi="Times New Roman"/>
                <w:sz w:val="20"/>
              </w:rPr>
              <w:t xml:space="preserve"> (Abschnitt F)</w:t>
            </w:r>
          </w:p>
        </w:tc>
      </w:tr>
      <w:tr>
        <w:tc>
          <w:tcPr>
            <w:tcW w:type="dxa" w:w="1814"/>
          </w:tcPr>
          <w:p>
            <w:r>
              <w:rPr>
                <w:rFonts w:ascii="Times New Roman" w:hAnsi="Times New Roman"/>
                <w:sz w:val="20"/>
              </w:rPr>
              <w:t>A14</w:t>
            </w:r>
          </w:p>
        </w:tc>
        <w:tc>
          <w:tcPr>
            <w:tcW w:type="dxa" w:w="1814"/>
          </w:tcPr>
          <w:p>
            <w:r>
              <w:rPr>
                <w:rFonts w:ascii="Times New Roman" w:hAnsi="Times New Roman"/>
                <w:sz w:val="20"/>
              </w:rPr>
              <w:t>Plananlage: Gläubigerliste vollständig (mit Beträgen)</w:t>
            </w:r>
          </w:p>
        </w:tc>
        <w:tc>
          <w:tcPr>
            <w:tcW w:type="dxa" w:w="1814"/>
          </w:tcPr>
          <w:p>
            <w:r>
              <w:rPr>
                <w:rFonts w:ascii="Times New Roman" w:hAnsi="Times New Roman"/>
                <w:sz w:val="20"/>
              </w:rPr>
              <w:t>§ 174 ff. InsO</w:t>
            </w:r>
          </w:p>
        </w:tc>
        <w:tc>
          <w:tcPr>
            <w:tcW w:type="dxa" w:w="1814"/>
          </w:tcPr>
          <w:p>
            <w:r>
              <w:rPr>
                <w:rFonts w:ascii="Times New Roman" w:hAnsi="Times New Roman"/>
                <w:sz w:val="20"/>
              </w:rPr>
              <w:t>✓ Entwurf</w:t>
            </w:r>
          </w:p>
        </w:tc>
        <w:tc>
          <w:tcPr>
            <w:tcW w:type="dxa" w:w="1814"/>
          </w:tcPr>
          <w:p>
            <w:r>
              <w:rPr>
                <w:rFonts w:ascii="Times New Roman" w:hAnsi="Times New Roman"/>
                <w:sz w:val="20"/>
              </w:rPr>
              <w:t>04_glaeubiger_und_sicherheiten.csv</w:t>
            </w:r>
          </w:p>
        </w:tc>
      </w:tr>
    </w:tbl>
    <w:p>
      <w:pPr>
        <w:spacing w:line="259" w:lineRule="auto" w:after="60"/>
      </w:pPr>
    </w:p>
    <w:p>
      <w:pPr>
        <w:pStyle w:val="Heading2"/>
        <w:spacing w:line="259" w:lineRule="auto" w:after="60"/>
      </w:pPr>
      <w:r>
        <w:rPr>
          <w:rFonts w:ascii="Times New Roman" w:hAnsi="Times New Roman"/>
        </w:rPr>
        <w:t>B. Prozessuale Voraussetzungen (§ 270a InsO, AG Hamburg)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Anforderung</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B1</w:t>
            </w:r>
          </w:p>
        </w:tc>
        <w:tc>
          <w:tcPr>
            <w:tcW w:type="dxa" w:w="2268"/>
          </w:tcPr>
          <w:p>
            <w:r>
              <w:rPr>
                <w:rFonts w:ascii="Times New Roman" w:hAnsi="Times New Roman"/>
                <w:sz w:val="20"/>
              </w:rPr>
              <w:t>Vollmacht im Original</w:t>
            </w:r>
          </w:p>
        </w:tc>
        <w:tc>
          <w:tcPr>
            <w:tcW w:type="dxa" w:w="2268"/>
          </w:tcPr>
          <w:p>
            <w:r>
              <w:rPr>
                <w:rFonts w:ascii="Times New Roman" w:hAnsi="Times New Roman"/>
                <w:sz w:val="20"/>
              </w:rPr>
              <w:t>✓ seit 13.05.2026</w:t>
            </w:r>
          </w:p>
        </w:tc>
        <w:tc>
          <w:tcPr>
            <w:tcW w:type="dxa" w:w="2268"/>
          </w:tcPr>
          <w:p>
            <w:r>
              <w:rPr>
                <w:rFonts w:ascii="Times New Roman" w:hAnsi="Times New Roman"/>
                <w:sz w:val="20"/>
              </w:rPr>
              <w:t>–</w:t>
            </w:r>
          </w:p>
        </w:tc>
      </w:tr>
      <w:tr>
        <w:tc>
          <w:tcPr>
            <w:tcW w:type="dxa" w:w="2268"/>
          </w:tcPr>
          <w:p>
            <w:r>
              <w:rPr>
                <w:rFonts w:ascii="Times New Roman" w:hAnsi="Times New Roman"/>
                <w:sz w:val="20"/>
              </w:rPr>
              <w:t>B2</w:t>
            </w:r>
          </w:p>
        </w:tc>
        <w:tc>
          <w:tcPr>
            <w:tcW w:type="dxa" w:w="2268"/>
          </w:tcPr>
          <w:p>
            <w:r>
              <w:rPr>
                <w:rFonts w:ascii="Times New Roman" w:hAnsi="Times New Roman"/>
                <w:sz w:val="20"/>
              </w:rPr>
              <w:t>Aktueller Handelsregisterauszug (nicht älter als 3 Monate)</w:t>
            </w:r>
          </w:p>
        </w:tc>
        <w:tc>
          <w:tcPr>
            <w:tcW w:type="dxa" w:w="2268"/>
          </w:tcPr>
          <w:p>
            <w:r>
              <w:rPr>
                <w:rFonts w:ascii="Times New Roman" w:hAnsi="Times New Roman"/>
                <w:sz w:val="20"/>
              </w:rPr>
              <w:t>✓ vorhanden</w:t>
            </w:r>
          </w:p>
        </w:tc>
        <w:tc>
          <w:tcPr>
            <w:tcW w:type="dxa" w:w="2268"/>
          </w:tcPr>
          <w:p>
            <w:r>
              <w:rPr>
                <w:rFonts w:ascii="Times New Roman" w:hAnsi="Times New Roman"/>
                <w:sz w:val="20"/>
              </w:rPr>
              <w:t>–</w:t>
            </w:r>
          </w:p>
        </w:tc>
      </w:tr>
      <w:tr>
        <w:tc>
          <w:tcPr>
            <w:tcW w:type="dxa" w:w="2268"/>
          </w:tcPr>
          <w:p>
            <w:r>
              <w:rPr>
                <w:rFonts w:ascii="Times New Roman" w:hAnsi="Times New Roman"/>
                <w:sz w:val="20"/>
              </w:rPr>
              <w:t>B3</w:t>
            </w:r>
          </w:p>
        </w:tc>
        <w:tc>
          <w:tcPr>
            <w:tcW w:type="dxa" w:w="2268"/>
          </w:tcPr>
          <w:p>
            <w:r>
              <w:rPr>
                <w:rFonts w:ascii="Times New Roman" w:hAnsi="Times New Roman"/>
                <w:sz w:val="20"/>
              </w:rPr>
              <w:t>Eigenverwaltungsantrag mit Begründung</w:t>
            </w:r>
          </w:p>
        </w:tc>
        <w:tc>
          <w:tcPr>
            <w:tcW w:type="dxa" w:w="2268"/>
          </w:tcPr>
          <w:p>
            <w:r>
              <w:rPr>
                <w:rFonts w:ascii="Times New Roman" w:hAnsi="Times New Roman"/>
                <w:sz w:val="20"/>
              </w:rPr>
              <w:t>⚠ Entwurf</w:t>
            </w:r>
          </w:p>
        </w:tc>
        <w:tc>
          <w:tcPr>
            <w:tcW w:type="dxa" w:w="2268"/>
          </w:tcPr>
          <w:p>
            <w:r>
              <w:rPr>
                <w:rFonts w:ascii="Times New Roman" w:hAnsi="Times New Roman"/>
                <w:sz w:val="20"/>
              </w:rPr>
              <w:t>16.06.2026</w:t>
            </w:r>
          </w:p>
        </w:tc>
      </w:tr>
      <w:tr>
        <w:tc>
          <w:tcPr>
            <w:tcW w:type="dxa" w:w="2268"/>
          </w:tcPr>
          <w:p>
            <w:r>
              <w:rPr>
                <w:rFonts w:ascii="Times New Roman" w:hAnsi="Times New Roman"/>
                <w:sz w:val="20"/>
              </w:rPr>
              <w:t>B4</w:t>
            </w:r>
          </w:p>
        </w:tc>
        <w:tc>
          <w:tcPr>
            <w:tcW w:type="dxa" w:w="2268"/>
          </w:tcPr>
          <w:p>
            <w:r>
              <w:rPr>
                <w:rFonts w:ascii="Times New Roman" w:hAnsi="Times New Roman"/>
                <w:sz w:val="20"/>
              </w:rPr>
              <w:t>Benennung vorläufiger Sachwalter (§ 270a Abs. 1 S. 2 Nr. 3 InsO)</w:t>
            </w:r>
          </w:p>
        </w:tc>
        <w:tc>
          <w:tcPr>
            <w:tcW w:type="dxa" w:w="2268"/>
          </w:tcPr>
          <w:p>
            <w:r>
              <w:rPr>
                <w:rFonts w:ascii="Times New Roman" w:hAnsi="Times New Roman"/>
                <w:sz w:val="20"/>
              </w:rPr>
              <w:t>✓ Kanzlei Brandt &amp; Söhne benannt</w:t>
            </w:r>
          </w:p>
        </w:tc>
        <w:tc>
          <w:tcPr>
            <w:tcW w:type="dxa" w:w="2268"/>
          </w:tcPr>
          <w:p>
            <w:r>
              <w:rPr>
                <w:rFonts w:ascii="Times New Roman" w:hAnsi="Times New Roman"/>
                <w:sz w:val="20"/>
              </w:rPr>
              <w:t>–</w:t>
            </w:r>
          </w:p>
        </w:tc>
      </w:tr>
      <w:tr>
        <w:tc>
          <w:tcPr>
            <w:tcW w:type="dxa" w:w="2268"/>
          </w:tcPr>
          <w:p>
            <w:r>
              <w:rPr>
                <w:rFonts w:ascii="Times New Roman" w:hAnsi="Times New Roman"/>
                <w:sz w:val="20"/>
              </w:rPr>
              <w:t>B5</w:t>
            </w:r>
          </w:p>
        </w:tc>
        <w:tc>
          <w:tcPr>
            <w:tcW w:type="dxa" w:w="2268"/>
          </w:tcPr>
          <w:p>
            <w:r>
              <w:rPr>
                <w:rFonts w:ascii="Times New Roman" w:hAnsi="Times New Roman"/>
                <w:sz w:val="20"/>
              </w:rPr>
              <w:t>Bestätigung Sachwalter über Eignung und Unabhängigkeit</w:t>
            </w:r>
          </w:p>
        </w:tc>
        <w:tc>
          <w:tcPr>
            <w:tcW w:type="dxa" w:w="2268"/>
          </w:tcPr>
          <w:p>
            <w:r>
              <w:rPr>
                <w:rFonts w:ascii="Times New Roman" w:hAnsi="Times New Roman"/>
                <w:sz w:val="20"/>
              </w:rPr>
              <w:t>✓ Schreiben Brandt 01.06.2026</w:t>
            </w:r>
          </w:p>
        </w:tc>
        <w:tc>
          <w:tcPr>
            <w:tcW w:type="dxa" w:w="2268"/>
          </w:tcPr>
          <w:p>
            <w:r>
              <w:rPr>
                <w:rFonts w:ascii="Times New Roman" w:hAnsi="Times New Roman"/>
                <w:sz w:val="20"/>
              </w:rPr>
              <w:t>–</w:t>
            </w:r>
          </w:p>
        </w:tc>
      </w:tr>
      <w:tr>
        <w:tc>
          <w:tcPr>
            <w:tcW w:type="dxa" w:w="2268"/>
          </w:tcPr>
          <w:p>
            <w:r>
              <w:rPr>
                <w:rFonts w:ascii="Times New Roman" w:hAnsi="Times New Roman"/>
                <w:sz w:val="20"/>
              </w:rPr>
              <w:t>B6</w:t>
            </w:r>
          </w:p>
        </w:tc>
        <w:tc>
          <w:tcPr>
            <w:tcW w:type="dxa" w:w="2268"/>
          </w:tcPr>
          <w:p>
            <w:r>
              <w:rPr>
                <w:rFonts w:ascii="Times New Roman" w:hAnsi="Times New Roman"/>
                <w:sz w:val="20"/>
              </w:rPr>
              <w:t>Gläubigerausschuss-Kandidaten (§ 22a InsO) benannt</w:t>
            </w:r>
          </w:p>
        </w:tc>
        <w:tc>
          <w:tcPr>
            <w:tcW w:type="dxa" w:w="2268"/>
          </w:tcPr>
          <w:p>
            <w:r>
              <w:rPr>
                <w:rFonts w:ascii="Times New Roman" w:hAnsi="Times New Roman"/>
                <w:sz w:val="20"/>
              </w:rPr>
              <w:t>⚠ Noch nicht benannt</w:t>
            </w:r>
          </w:p>
        </w:tc>
        <w:tc>
          <w:tcPr>
            <w:tcW w:type="dxa" w:w="2268"/>
          </w:tcPr>
          <w:p>
            <w:r>
              <w:rPr>
                <w:rFonts w:ascii="Times New Roman" w:hAnsi="Times New Roman"/>
                <w:sz w:val="20"/>
              </w:rPr>
              <w:t>15.06.2026</w:t>
            </w:r>
          </w:p>
        </w:tc>
      </w:tr>
      <w:tr>
        <w:tc>
          <w:tcPr>
            <w:tcW w:type="dxa" w:w="2268"/>
          </w:tcPr>
          <w:p>
            <w:r>
              <w:rPr>
                <w:rFonts w:ascii="Times New Roman" w:hAnsi="Times New Roman"/>
                <w:sz w:val="20"/>
              </w:rPr>
              <w:t>B7</w:t>
            </w:r>
          </w:p>
        </w:tc>
        <w:tc>
          <w:tcPr>
            <w:tcW w:type="dxa" w:w="2268"/>
          </w:tcPr>
          <w:p>
            <w:r>
              <w:rPr>
                <w:rFonts w:ascii="Times New Roman" w:hAnsi="Times New Roman"/>
                <w:sz w:val="20"/>
              </w:rPr>
              <w:t>Kein Strafverfahren gegen GF (§ 270 Abs. 2 InsO Negativzeugnis)</w:t>
            </w:r>
          </w:p>
        </w:tc>
        <w:tc>
          <w:tcPr>
            <w:tcW w:type="dxa" w:w="2268"/>
          </w:tcPr>
          <w:p>
            <w:r>
              <w:rPr>
                <w:rFonts w:ascii="Times New Roman" w:hAnsi="Times New Roman"/>
                <w:sz w:val="20"/>
              </w:rPr>
              <w:t>✓ Selbsterklärung</w:t>
            </w:r>
          </w:p>
        </w:tc>
        <w:tc>
          <w:tcPr>
            <w:tcW w:type="dxa" w:w="2268"/>
          </w:tcPr>
          <w:p>
            <w:r>
              <w:rPr>
                <w:rFonts w:ascii="Times New Roman" w:hAnsi="Times New Roman"/>
                <w:sz w:val="20"/>
              </w:rPr>
              <w:t>–</w:t>
            </w:r>
          </w:p>
        </w:tc>
      </w:tr>
      <w:tr>
        <w:tc>
          <w:tcPr>
            <w:tcW w:type="dxa" w:w="2268"/>
          </w:tcPr>
          <w:p>
            <w:r>
              <w:rPr>
                <w:rFonts w:ascii="Times New Roman" w:hAnsi="Times New Roman"/>
                <w:sz w:val="20"/>
              </w:rPr>
              <w:t>B8</w:t>
            </w:r>
          </w:p>
        </w:tc>
        <w:tc>
          <w:tcPr>
            <w:tcW w:type="dxa" w:w="2268"/>
          </w:tcPr>
          <w:p>
            <w:r>
              <w:rPr>
                <w:rFonts w:ascii="Times New Roman" w:hAnsi="Times New Roman"/>
                <w:sz w:val="20"/>
              </w:rPr>
              <w:t>Gerichtsgebühren-Vorschuss (ca. 5.000 €)</w:t>
            </w:r>
          </w:p>
        </w:tc>
        <w:tc>
          <w:tcPr>
            <w:tcW w:type="dxa" w:w="2268"/>
          </w:tcPr>
          <w:p>
            <w:r>
              <w:rPr>
                <w:rFonts w:ascii="Times New Roman" w:hAnsi="Times New Roman"/>
                <w:sz w:val="20"/>
              </w:rPr>
              <w:t>⚠ Überweisung vorbereiten</w:t>
            </w:r>
          </w:p>
        </w:tc>
        <w:tc>
          <w:tcPr>
            <w:tcW w:type="dxa" w:w="2268"/>
          </w:tcPr>
          <w:p>
            <w:r>
              <w:rPr>
                <w:rFonts w:ascii="Times New Roman" w:hAnsi="Times New Roman"/>
                <w:sz w:val="20"/>
              </w:rPr>
              <w:t>16.06.2026</w:t>
            </w:r>
          </w:p>
        </w:tc>
      </w:tr>
    </w:tbl>
    <w:p>
      <w:pPr>
        <w:spacing w:line="259" w:lineRule="auto" w:after="60"/>
      </w:pPr>
    </w:p>
    <w:p>
      <w:pPr>
        <w:pStyle w:val="Heading2"/>
        <w:spacing w:line="259" w:lineRule="auto" w:after="60"/>
      </w:pPr>
      <w:r>
        <w:rPr>
          <w:rFonts w:ascii="Times New Roman" w:hAnsi="Times New Roman"/>
        </w:rPr>
        <w:t>C. Inhaltliche Qualitätsprüfung (Red-Team-Einwände)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Einwand aus Red-Team-Review</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C1</w:t>
            </w:r>
          </w:p>
        </w:tc>
        <w:tc>
          <w:tcPr>
            <w:tcW w:type="dxa" w:w="2268"/>
          </w:tcPr>
          <w:p>
            <w:r>
              <w:rPr>
                <w:rFonts w:ascii="Times New Roman" w:hAnsi="Times New Roman"/>
                <w:sz w:val="20"/>
              </w:rPr>
              <w:t>Vergleichsrechnung: Übertragungsszenario fehlt</w:t>
            </w:r>
          </w:p>
        </w:tc>
        <w:tc>
          <w:tcPr>
            <w:tcW w:type="dxa" w:w="2268"/>
          </w:tcPr>
          <w:p>
            <w:r>
              <w:rPr>
                <w:rFonts w:ascii="Times New Roman" w:hAnsi="Times New Roman"/>
                <w:sz w:val="20"/>
              </w:rPr>
              <w:t>⚠ In Arbeit</w:t>
            </w:r>
          </w:p>
        </w:tc>
        <w:tc>
          <w:tcPr>
            <w:tcW w:type="dxa" w:w="2268"/>
          </w:tcPr>
          <w:p>
            <w:r>
              <w:rPr>
                <w:rFonts w:ascii="Times New Roman" w:hAnsi="Times New Roman"/>
                <w:sz w:val="20"/>
              </w:rPr>
              <w:t>14.06.2026</w:t>
            </w:r>
          </w:p>
        </w:tc>
      </w:tr>
      <w:tr>
        <w:tc>
          <w:tcPr>
            <w:tcW w:type="dxa" w:w="2268"/>
          </w:tcPr>
          <w:p>
            <w:r>
              <w:rPr>
                <w:rFonts w:ascii="Times New Roman" w:hAnsi="Times New Roman"/>
                <w:sz w:val="20"/>
              </w:rPr>
              <w:t>C2</w:t>
            </w:r>
          </w:p>
        </w:tc>
        <w:tc>
          <w:tcPr>
            <w:tcW w:type="dxa" w:w="2268"/>
          </w:tcPr>
          <w:p>
            <w:r>
              <w:rPr>
                <w:rFonts w:ascii="Times New Roman" w:hAnsi="Times New Roman"/>
                <w:sz w:val="20"/>
              </w:rPr>
              <w:t>Sicherheitenwerte: Rechtsgutachten Globalzession</w:t>
            </w:r>
          </w:p>
        </w:tc>
        <w:tc>
          <w:tcPr>
            <w:tcW w:type="dxa" w:w="2268"/>
          </w:tcPr>
          <w:p>
            <w:r>
              <w:rPr>
                <w:rFonts w:ascii="Times New Roman" w:hAnsi="Times New Roman"/>
                <w:sz w:val="20"/>
              </w:rPr>
              <w:t>⚠ Beauftragt, Müller &amp; Fischer</w:t>
            </w:r>
          </w:p>
        </w:tc>
        <w:tc>
          <w:tcPr>
            <w:tcW w:type="dxa" w:w="2268"/>
          </w:tcPr>
          <w:p>
            <w:r>
              <w:rPr>
                <w:rFonts w:ascii="Times New Roman" w:hAnsi="Times New Roman"/>
                <w:sz w:val="20"/>
              </w:rPr>
              <w:t>12.06.2026</w:t>
            </w:r>
          </w:p>
        </w:tc>
      </w:tr>
      <w:tr>
        <w:tc>
          <w:tcPr>
            <w:tcW w:type="dxa" w:w="2268"/>
          </w:tcPr>
          <w:p>
            <w:r>
              <w:rPr>
                <w:rFonts w:ascii="Times New Roman" w:hAnsi="Times New Roman"/>
                <w:sz w:val="20"/>
              </w:rPr>
              <w:t>C3</w:t>
            </w:r>
          </w:p>
        </w:tc>
        <w:tc>
          <w:tcPr>
            <w:tcW w:type="dxa" w:w="2268"/>
          </w:tcPr>
          <w:p>
            <w:r>
              <w:rPr>
                <w:rFonts w:ascii="Times New Roman" w:hAnsi="Times New Roman"/>
                <w:sz w:val="20"/>
              </w:rPr>
              <w:t>Anfechtungsansprüche quantifiziert</w:t>
            </w:r>
          </w:p>
        </w:tc>
        <w:tc>
          <w:tcPr>
            <w:tcW w:type="dxa" w:w="2268"/>
          </w:tcPr>
          <w:p>
            <w:r>
              <w:rPr>
                <w:rFonts w:ascii="Times New Roman" w:hAnsi="Times New Roman"/>
                <w:sz w:val="20"/>
              </w:rPr>
              <w:t>⚠ In Arbeit</w:t>
            </w:r>
          </w:p>
        </w:tc>
        <w:tc>
          <w:tcPr>
            <w:tcW w:type="dxa" w:w="2268"/>
          </w:tcPr>
          <w:p>
            <w:r>
              <w:rPr>
                <w:rFonts w:ascii="Times New Roman" w:hAnsi="Times New Roman"/>
                <w:sz w:val="20"/>
              </w:rPr>
              <w:t>16.06.2026</w:t>
            </w:r>
          </w:p>
        </w:tc>
      </w:tr>
      <w:tr>
        <w:tc>
          <w:tcPr>
            <w:tcW w:type="dxa" w:w="2268"/>
          </w:tcPr>
          <w:p>
            <w:r>
              <w:rPr>
                <w:rFonts w:ascii="Times New Roman" w:hAnsi="Times New Roman"/>
                <w:sz w:val="20"/>
              </w:rPr>
              <w:t>C4</w:t>
            </w:r>
          </w:p>
        </w:tc>
        <w:tc>
          <w:tcPr>
            <w:tcW w:type="dxa" w:w="2268"/>
          </w:tcPr>
          <w:p>
            <w:r>
              <w:rPr>
                <w:rFonts w:ascii="Times New Roman" w:hAnsi="Times New Roman"/>
                <w:sz w:val="20"/>
              </w:rPr>
              <w:t>Finanzamt-Gruppenbildung: Begründung stärken</w:t>
            </w:r>
          </w:p>
        </w:tc>
        <w:tc>
          <w:tcPr>
            <w:tcW w:type="dxa" w:w="2268"/>
          </w:tcPr>
          <w:p>
            <w:r>
              <w:rPr>
                <w:rFonts w:ascii="Times New Roman" w:hAnsi="Times New Roman"/>
                <w:sz w:val="20"/>
              </w:rPr>
              <w:t>⚠ In Bearbeitung</w:t>
            </w:r>
          </w:p>
        </w:tc>
        <w:tc>
          <w:tcPr>
            <w:tcW w:type="dxa" w:w="2268"/>
          </w:tcPr>
          <w:p>
            <w:r>
              <w:rPr>
                <w:rFonts w:ascii="Times New Roman" w:hAnsi="Times New Roman"/>
                <w:sz w:val="20"/>
              </w:rPr>
              <w:t>15.06.2026</w:t>
            </w:r>
          </w:p>
        </w:tc>
      </w:tr>
      <w:tr>
        <w:tc>
          <w:tcPr>
            <w:tcW w:type="dxa" w:w="2268"/>
          </w:tcPr>
          <w:p>
            <w:r>
              <w:rPr>
                <w:rFonts w:ascii="Times New Roman" w:hAnsi="Times New Roman"/>
                <w:sz w:val="20"/>
              </w:rPr>
              <w:t>C5</w:t>
            </w:r>
          </w:p>
        </w:tc>
        <w:tc>
          <w:tcPr>
            <w:tcW w:type="dxa" w:w="2268"/>
          </w:tcPr>
          <w:p>
            <w:r>
              <w:rPr>
                <w:rFonts w:ascii="Times New Roman" w:hAnsi="Times New Roman"/>
                <w:sz w:val="20"/>
              </w:rPr>
              <w:t>Investor-Tranche: MAC enger fassen; Commitment Letter</w:t>
            </w:r>
          </w:p>
        </w:tc>
        <w:tc>
          <w:tcPr>
            <w:tcW w:type="dxa" w:w="2268"/>
          </w:tcPr>
          <w:p>
            <w:r>
              <w:rPr>
                <w:rFonts w:ascii="Times New Roman" w:hAnsi="Times New Roman"/>
                <w:sz w:val="20"/>
              </w:rPr>
              <w:t>⚠ Verhandlung läuft</w:t>
            </w:r>
          </w:p>
        </w:tc>
        <w:tc>
          <w:tcPr>
            <w:tcW w:type="dxa" w:w="2268"/>
          </w:tcPr>
          <w:p>
            <w:r>
              <w:rPr>
                <w:rFonts w:ascii="Times New Roman" w:hAnsi="Times New Roman"/>
                <w:sz w:val="20"/>
              </w:rPr>
              <w:t>12.06.2026</w:t>
            </w:r>
          </w:p>
        </w:tc>
      </w:tr>
      <w:tr>
        <w:tc>
          <w:tcPr>
            <w:tcW w:type="dxa" w:w="2268"/>
          </w:tcPr>
          <w:p>
            <w:r>
              <w:rPr>
                <w:rFonts w:ascii="Times New Roman" w:hAnsi="Times New Roman"/>
                <w:sz w:val="20"/>
              </w:rPr>
              <w:t>C6</w:t>
            </w:r>
          </w:p>
        </w:tc>
        <w:tc>
          <w:tcPr>
            <w:tcW w:type="dxa" w:w="2268"/>
          </w:tcPr>
          <w:p>
            <w:r>
              <w:rPr>
                <w:rFonts w:ascii="Times New Roman" w:hAnsi="Times New Roman"/>
                <w:sz w:val="20"/>
              </w:rPr>
              <w:t>Cram-Down-Vorbereitung NordBank</w:t>
            </w:r>
          </w:p>
        </w:tc>
        <w:tc>
          <w:tcPr>
            <w:tcW w:type="dxa" w:w="2268"/>
          </w:tcPr>
          <w:p>
            <w:r>
              <w:rPr>
                <w:rFonts w:ascii="Times New Roman" w:hAnsi="Times New Roman"/>
                <w:sz w:val="20"/>
              </w:rPr>
              <w:t>⚠ Schriftsatz in Vorbereitung</w:t>
            </w:r>
          </w:p>
        </w:tc>
        <w:tc>
          <w:tcPr>
            <w:tcW w:type="dxa" w:w="2268"/>
          </w:tcPr>
          <w:p>
            <w:r>
              <w:rPr>
                <w:rFonts w:ascii="Times New Roman" w:hAnsi="Times New Roman"/>
                <w:sz w:val="20"/>
              </w:rPr>
              <w:t>15.06.2026</w:t>
            </w:r>
          </w:p>
        </w:tc>
      </w:tr>
      <w:tr>
        <w:tc>
          <w:tcPr>
            <w:tcW w:type="dxa" w:w="2268"/>
          </w:tcPr>
          <w:p>
            <w:r>
              <w:rPr>
                <w:rFonts w:ascii="Times New Roman" w:hAnsi="Times New Roman"/>
                <w:sz w:val="20"/>
              </w:rPr>
              <w:t>C7</w:t>
            </w:r>
          </w:p>
        </w:tc>
        <w:tc>
          <w:tcPr>
            <w:tcW w:type="dxa" w:w="2268"/>
          </w:tcPr>
          <w:p>
            <w:r>
              <w:rPr>
                <w:rFonts w:ascii="Times New Roman" w:hAnsi="Times New Roman"/>
                <w:sz w:val="20"/>
              </w:rPr>
              <w:t>DIN EN 1090-2: Retention-Bonus und Audit-Vorverlegung</w:t>
            </w:r>
          </w:p>
        </w:tc>
        <w:tc>
          <w:tcPr>
            <w:tcW w:type="dxa" w:w="2268"/>
          </w:tcPr>
          <w:p>
            <w:r>
              <w:rPr>
                <w:rFonts w:ascii="Times New Roman" w:hAnsi="Times New Roman"/>
                <w:sz w:val="20"/>
              </w:rPr>
              <w:t>⚠ Buchholz-Gespräch 14.06.2026</w:t>
            </w:r>
          </w:p>
        </w:tc>
        <w:tc>
          <w:tcPr>
            <w:tcW w:type="dxa" w:w="2268"/>
          </w:tcPr>
          <w:p>
            <w:r>
              <w:rPr>
                <w:rFonts w:ascii="Times New Roman" w:hAnsi="Times New Roman"/>
                <w:sz w:val="20"/>
              </w:rPr>
              <w:t>14.06.2026</w:t>
            </w:r>
          </w:p>
        </w:tc>
      </w:tr>
      <w:tr>
        <w:tc>
          <w:tcPr>
            <w:tcW w:type="dxa" w:w="2268"/>
          </w:tcPr>
          <w:p>
            <w:r>
              <w:rPr>
                <w:rFonts w:ascii="Times New Roman" w:hAnsi="Times New Roman"/>
                <w:sz w:val="20"/>
              </w:rPr>
              <w:t>C8</w:t>
            </w:r>
          </w:p>
        </w:tc>
        <w:tc>
          <w:tcPr>
            <w:tcW w:type="dxa" w:w="2268"/>
          </w:tcPr>
          <w:p>
            <w:r>
              <w:rPr>
                <w:rFonts w:ascii="Times New Roman" w:hAnsi="Times New Roman"/>
                <w:sz w:val="20"/>
              </w:rPr>
              <w:t>Monitoring: Eskalationsregeln ergänzen</w:t>
            </w:r>
          </w:p>
        </w:tc>
        <w:tc>
          <w:tcPr>
            <w:tcW w:type="dxa" w:w="2268"/>
          </w:tcPr>
          <w:p>
            <w:r>
              <w:rPr>
                <w:rFonts w:ascii="Times New Roman" w:hAnsi="Times New Roman"/>
                <w:sz w:val="20"/>
              </w:rPr>
              <w:t>Niedrige Prio</w:t>
            </w:r>
          </w:p>
        </w:tc>
        <w:tc>
          <w:tcPr>
            <w:tcW w:type="dxa" w:w="2268"/>
          </w:tcPr>
          <w:p>
            <w:r>
              <w:rPr>
                <w:rFonts w:ascii="Times New Roman" w:hAnsi="Times New Roman"/>
                <w:sz w:val="20"/>
              </w:rPr>
              <w:t>15.06.2026</w:t>
            </w:r>
          </w:p>
        </w:tc>
      </w:tr>
    </w:tbl>
    <w:p>
      <w:pPr>
        <w:spacing w:line="259" w:lineRule="auto" w:after="60"/>
      </w:pPr>
    </w:p>
    <w:p>
      <w:pPr>
        <w:pStyle w:val="Heading2"/>
        <w:spacing w:line="259" w:lineRule="auto" w:after="60"/>
      </w:pPr>
      <w:r>
        <w:rPr>
          <w:rFonts w:ascii="Times New Roman" w:hAnsi="Times New Roman"/>
        </w:rPr>
        <w:t>D. Kommunikation und Stakeholder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D1</w:t>
            </w:r>
          </w:p>
        </w:tc>
        <w:tc>
          <w:tcPr>
            <w:tcW w:type="dxa" w:w="2268"/>
          </w:tcPr>
          <w:p>
            <w:r>
              <w:rPr>
                <w:rFonts w:ascii="Times New Roman" w:hAnsi="Times New Roman"/>
                <w:sz w:val="20"/>
              </w:rPr>
              <w:t>Brief an NordBank AG: Planvorlage und Gesprächsbitte</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D2</w:t>
            </w:r>
          </w:p>
        </w:tc>
        <w:tc>
          <w:tcPr>
            <w:tcW w:type="dxa" w:w="2268"/>
          </w:tcPr>
          <w:p>
            <w:r>
              <w:rPr>
                <w:rFonts w:ascii="Times New Roman" w:hAnsi="Times New Roman"/>
                <w:sz w:val="20"/>
              </w:rPr>
              <w:t>Brief an Finanzamt: Stundungsbescheid abwarten</w:t>
            </w:r>
          </w:p>
        </w:tc>
        <w:tc>
          <w:tcPr>
            <w:tcW w:type="dxa" w:w="2268"/>
          </w:tcPr>
          <w:p>
            <w:r>
              <w:rPr>
                <w:rFonts w:ascii="Times New Roman" w:hAnsi="Times New Roman"/>
                <w:sz w:val="20"/>
              </w:rPr>
              <w:t>✓ Schreiben vom 05.06.2026</w:t>
            </w:r>
          </w:p>
        </w:tc>
        <w:tc>
          <w:tcPr>
            <w:tcW w:type="dxa" w:w="2268"/>
          </w:tcPr>
          <w:p>
            <w:r>
              <w:rPr>
                <w:rFonts w:ascii="Times New Roman" w:hAnsi="Times New Roman"/>
                <w:sz w:val="20"/>
              </w:rPr>
              <w:t>–</w:t>
            </w:r>
          </w:p>
        </w:tc>
      </w:tr>
      <w:tr>
        <w:tc>
          <w:tcPr>
            <w:tcW w:type="dxa" w:w="2268"/>
          </w:tcPr>
          <w:p>
            <w:r>
              <w:rPr>
                <w:rFonts w:ascii="Times New Roman" w:hAnsi="Times New Roman"/>
                <w:sz w:val="20"/>
              </w:rPr>
              <w:t>D3</w:t>
            </w:r>
          </w:p>
        </w:tc>
        <w:tc>
          <w:tcPr>
            <w:tcW w:type="dxa" w:w="2268"/>
          </w:tcPr>
          <w:p>
            <w:r>
              <w:rPr>
                <w:rFonts w:ascii="Times New Roman" w:hAnsi="Times New Roman"/>
                <w:sz w:val="20"/>
              </w:rPr>
              <w:t>Brief an LeasingWerk: Vertragsfortführung bestätigen</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D4</w:t>
            </w:r>
          </w:p>
        </w:tc>
        <w:tc>
          <w:tcPr>
            <w:tcW w:type="dxa" w:w="2268"/>
          </w:tcPr>
          <w:p>
            <w:r>
              <w:rPr>
                <w:rFonts w:ascii="Times New Roman" w:hAnsi="Times New Roman"/>
                <w:sz w:val="20"/>
              </w:rPr>
              <w:t>Brief an Stahlhandel Küste: Eigentumsvorbehalt-Lösung skizzieren</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D5</w:t>
            </w:r>
          </w:p>
        </w:tc>
        <w:tc>
          <w:tcPr>
            <w:tcW w:type="dxa" w:w="2268"/>
          </w:tcPr>
          <w:p>
            <w:r>
              <w:rPr>
                <w:rFonts w:ascii="Times New Roman" w:hAnsi="Times New Roman"/>
                <w:sz w:val="20"/>
              </w:rPr>
              <w:t>Betriebsrat: Unterrichtung nach § 111 BetrVG</w:t>
            </w:r>
          </w:p>
        </w:tc>
        <w:tc>
          <w:tcPr>
            <w:tcW w:type="dxa" w:w="2268"/>
          </w:tcPr>
          <w:p>
            <w:r>
              <w:rPr>
                <w:rFonts w:ascii="Times New Roman" w:hAnsi="Times New Roman"/>
                <w:sz w:val="20"/>
              </w:rPr>
              <w:t>⚠ Termin 15.06.2026</w:t>
            </w:r>
          </w:p>
        </w:tc>
        <w:tc>
          <w:tcPr>
            <w:tcW w:type="dxa" w:w="2268"/>
          </w:tcPr>
          <w:p>
            <w:r>
              <w:rPr>
                <w:rFonts w:ascii="Times New Roman" w:hAnsi="Times New Roman"/>
                <w:sz w:val="20"/>
              </w:rPr>
              <w:t>15.06.2026</w:t>
            </w:r>
          </w:p>
        </w:tc>
      </w:tr>
      <w:tr>
        <w:tc>
          <w:tcPr>
            <w:tcW w:type="dxa" w:w="2268"/>
          </w:tcPr>
          <w:p>
            <w:r>
              <w:rPr>
                <w:rFonts w:ascii="Times New Roman" w:hAnsi="Times New Roman"/>
                <w:sz w:val="20"/>
              </w:rPr>
              <w:t>D6</w:t>
            </w:r>
          </w:p>
        </w:tc>
        <w:tc>
          <w:tcPr>
            <w:tcW w:type="dxa" w:w="2268"/>
          </w:tcPr>
          <w:p>
            <w:r>
              <w:rPr>
                <w:rFonts w:ascii="Times New Roman" w:hAnsi="Times New Roman"/>
                <w:sz w:val="20"/>
              </w:rPr>
              <w:t>Mitarbeiterinfo-Brief (Entwurf GF)</w:t>
            </w:r>
          </w:p>
        </w:tc>
        <w:tc>
          <w:tcPr>
            <w:tcW w:type="dxa" w:w="2268"/>
          </w:tcPr>
          <w:p>
            <w:r>
              <w:rPr>
                <w:rFonts w:ascii="Times New Roman" w:hAnsi="Times New Roman"/>
                <w:sz w:val="20"/>
              </w:rPr>
              <w:t>⚠ Entwurf</w:t>
            </w:r>
          </w:p>
        </w:tc>
        <w:tc>
          <w:tcPr>
            <w:tcW w:type="dxa" w:w="2268"/>
          </w:tcPr>
          <w:p>
            <w:r>
              <w:rPr>
                <w:rFonts w:ascii="Times New Roman" w:hAnsi="Times New Roman"/>
                <w:sz w:val="20"/>
              </w:rPr>
              <w:t>15.06.2026</w:t>
            </w:r>
          </w:p>
        </w:tc>
      </w:tr>
      <w:tr>
        <w:tc>
          <w:tcPr>
            <w:tcW w:type="dxa" w:w="2268"/>
          </w:tcPr>
          <w:p>
            <w:r>
              <w:rPr>
                <w:rFonts w:ascii="Times New Roman" w:hAnsi="Times New Roman"/>
                <w:sz w:val="20"/>
              </w:rPr>
              <w:t>D7</w:t>
            </w:r>
          </w:p>
        </w:tc>
        <w:tc>
          <w:tcPr>
            <w:tcW w:type="dxa" w:w="2268"/>
          </w:tcPr>
          <w:p>
            <w:r>
              <w:rPr>
                <w:rFonts w:ascii="Times New Roman" w:hAnsi="Times New Roman"/>
                <w:sz w:val="20"/>
              </w:rPr>
              <w:t>Pressehinweis: Krisenberater Westphal &amp; Partner ist einziger Sprecher</w:t>
            </w:r>
          </w:p>
        </w:tc>
        <w:tc>
          <w:tcPr>
            <w:tcW w:type="dxa" w:w="2268"/>
          </w:tcPr>
          <w:p>
            <w:r>
              <w:rPr>
                <w:rFonts w:ascii="Times New Roman" w:hAnsi="Times New Roman"/>
                <w:sz w:val="20"/>
              </w:rPr>
              <w:t>✓ Intern geregelt</w:t>
            </w:r>
          </w:p>
        </w:tc>
        <w:tc>
          <w:tcPr>
            <w:tcW w:type="dxa" w:w="2268"/>
          </w:tcPr>
          <w:p>
            <w:r>
              <w:rPr>
                <w:rFonts w:ascii="Times New Roman" w:hAnsi="Times New Roman"/>
                <w:sz w:val="20"/>
              </w:rPr>
              <w:t>–</w:t>
            </w:r>
          </w:p>
        </w:tc>
      </w:tr>
      <w:tr>
        <w:tc>
          <w:tcPr>
            <w:tcW w:type="dxa" w:w="2268"/>
          </w:tcPr>
          <w:p>
            <w:r>
              <w:rPr>
                <w:rFonts w:ascii="Times New Roman" w:hAnsi="Times New Roman"/>
                <w:sz w:val="20"/>
              </w:rPr>
              <w:t>D8</w:t>
            </w:r>
          </w:p>
        </w:tc>
        <w:tc>
          <w:tcPr>
            <w:tcW w:type="dxa" w:w="2268"/>
          </w:tcPr>
          <w:p>
            <w:r>
              <w:rPr>
                <w:rFonts w:ascii="Times New Roman" w:hAnsi="Times New Roman"/>
                <w:sz w:val="20"/>
              </w:rPr>
              <w:t>Stadtwerke Nord: Vertrauliches Briefing GF Reimers</w:t>
            </w:r>
          </w:p>
        </w:tc>
        <w:tc>
          <w:tcPr>
            <w:tcW w:type="dxa" w:w="2268"/>
          </w:tcPr>
          <w:p>
            <w:r>
              <w:rPr>
                <w:rFonts w:ascii="Times New Roman" w:hAnsi="Times New Roman"/>
                <w:sz w:val="20"/>
              </w:rPr>
              <w:t>⚠ Termin 14.06.2026</w:t>
            </w:r>
          </w:p>
        </w:tc>
        <w:tc>
          <w:tcPr>
            <w:tcW w:type="dxa" w:w="2268"/>
          </w:tcPr>
          <w:p>
            <w:r>
              <w:rPr>
                <w:rFonts w:ascii="Times New Roman" w:hAnsi="Times New Roman"/>
                <w:sz w:val="20"/>
              </w:rPr>
              <w:t>14.06.2026</w:t>
            </w:r>
          </w:p>
        </w:tc>
      </w:tr>
    </w:tbl>
    <w:p>
      <w:pPr>
        <w:spacing w:line="259" w:lineRule="auto" w:after="60"/>
      </w:pPr>
    </w:p>
    <w:p>
      <w:pPr>
        <w:pStyle w:val="Heading2"/>
        <w:spacing w:line="259" w:lineRule="auto" w:after="60"/>
      </w:pPr>
      <w:r>
        <w:rPr>
          <w:rFonts w:ascii="Times New Roman" w:hAnsi="Times New Roman"/>
        </w:rPr>
        <w:t>E. Planvollzug – Vorbereitungen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E1</w:t>
            </w:r>
          </w:p>
        </w:tc>
        <w:tc>
          <w:tcPr>
            <w:tcW w:type="dxa" w:w="2268"/>
          </w:tcPr>
          <w:p>
            <w:r>
              <w:rPr>
                <w:rFonts w:ascii="Times New Roman" w:hAnsi="Times New Roman"/>
                <w:sz w:val="20"/>
              </w:rPr>
              <w:t>Treuhandkonto einrichten (separate Bank, nicht NordBank)</w:t>
            </w:r>
          </w:p>
        </w:tc>
        <w:tc>
          <w:tcPr>
            <w:tcW w:type="dxa" w:w="2268"/>
          </w:tcPr>
          <w:p>
            <w:r>
              <w:rPr>
                <w:rFonts w:ascii="Times New Roman" w:hAnsi="Times New Roman"/>
                <w:sz w:val="20"/>
              </w:rPr>
              <w:t>⚠ In Vorbereitung</w:t>
            </w:r>
          </w:p>
        </w:tc>
        <w:tc>
          <w:tcPr>
            <w:tcW w:type="dxa" w:w="2268"/>
          </w:tcPr>
          <w:p>
            <w:r>
              <w:rPr>
                <w:rFonts w:ascii="Times New Roman" w:hAnsi="Times New Roman"/>
                <w:sz w:val="20"/>
              </w:rPr>
              <w:t>20.06.2026</w:t>
            </w:r>
          </w:p>
        </w:tc>
      </w:tr>
      <w:tr>
        <w:tc>
          <w:tcPr>
            <w:tcW w:type="dxa" w:w="2268"/>
          </w:tcPr>
          <w:p>
            <w:r>
              <w:rPr>
                <w:rFonts w:ascii="Times New Roman" w:hAnsi="Times New Roman"/>
                <w:sz w:val="20"/>
              </w:rPr>
              <w:t>E2</w:t>
            </w:r>
          </w:p>
        </w:tc>
        <w:tc>
          <w:tcPr>
            <w:tcW w:type="dxa" w:w="2268"/>
          </w:tcPr>
          <w:p>
            <w:r>
              <w:rPr>
                <w:rFonts w:ascii="Times New Roman" w:hAnsi="Times New Roman"/>
                <w:sz w:val="20"/>
              </w:rPr>
              <w:t>Treuhänder-Person benennen (intern oder extern)</w:t>
            </w:r>
          </w:p>
        </w:tc>
        <w:tc>
          <w:tcPr>
            <w:tcW w:type="dxa" w:w="2268"/>
          </w:tcPr>
          <w:p>
            <w:r>
              <w:rPr>
                <w:rFonts w:ascii="Times New Roman" w:hAnsi="Times New Roman"/>
                <w:sz w:val="20"/>
              </w:rPr>
              <w:t>⚠ Kandidat: StB Dresen</w:t>
            </w:r>
          </w:p>
        </w:tc>
        <w:tc>
          <w:tcPr>
            <w:tcW w:type="dxa" w:w="2268"/>
          </w:tcPr>
          <w:p>
            <w:r>
              <w:rPr>
                <w:rFonts w:ascii="Times New Roman" w:hAnsi="Times New Roman"/>
                <w:sz w:val="20"/>
              </w:rPr>
              <w:t>15.06.2026</w:t>
            </w:r>
          </w:p>
        </w:tc>
      </w:tr>
      <w:tr>
        <w:tc>
          <w:tcPr>
            <w:tcW w:type="dxa" w:w="2268"/>
          </w:tcPr>
          <w:p>
            <w:r>
              <w:rPr>
                <w:rFonts w:ascii="Times New Roman" w:hAnsi="Times New Roman"/>
                <w:sz w:val="20"/>
              </w:rPr>
              <w:t>E3</w:t>
            </w:r>
          </w:p>
        </w:tc>
        <w:tc>
          <w:tcPr>
            <w:tcW w:type="dxa" w:w="2268"/>
          </w:tcPr>
          <w:p>
            <w:r>
              <w:rPr>
                <w:rFonts w:ascii="Times New Roman" w:hAnsi="Times New Roman"/>
                <w:sz w:val="20"/>
              </w:rPr>
              <w:t>Planvollzugs-Kalender finalisiert</w:t>
            </w:r>
          </w:p>
        </w:tc>
        <w:tc>
          <w:tcPr>
            <w:tcW w:type="dxa" w:w="2268"/>
          </w:tcPr>
          <w:p>
            <w:r>
              <w:rPr>
                <w:rFonts w:ascii="Times New Roman" w:hAnsi="Times New Roman"/>
                <w:sz w:val="20"/>
              </w:rPr>
              <w:t>✓ Entwurf vorhanden</w:t>
            </w:r>
          </w:p>
        </w:tc>
        <w:tc>
          <w:tcPr>
            <w:tcW w:type="dxa" w:w="2268"/>
          </w:tcPr>
          <w:p>
            <w:r>
              <w:rPr>
                <w:rFonts w:ascii="Times New Roman" w:hAnsi="Times New Roman"/>
                <w:sz w:val="20"/>
              </w:rPr>
              <w:t>18_planvollzug_kalender.csv</w:t>
            </w:r>
          </w:p>
        </w:tc>
      </w:tr>
      <w:tr>
        <w:tc>
          <w:tcPr>
            <w:tcW w:type="dxa" w:w="2268"/>
          </w:tcPr>
          <w:p>
            <w:r>
              <w:rPr>
                <w:rFonts w:ascii="Times New Roman" w:hAnsi="Times New Roman"/>
                <w:sz w:val="20"/>
              </w:rPr>
              <w:t>E4</w:t>
            </w:r>
          </w:p>
        </w:tc>
        <w:tc>
          <w:tcPr>
            <w:tcW w:type="dxa" w:w="2268"/>
          </w:tcPr>
          <w:p>
            <w:r>
              <w:rPr>
                <w:rFonts w:ascii="Times New Roman" w:hAnsi="Times New Roman"/>
                <w:sz w:val="20"/>
              </w:rPr>
              <w:t>ERP-System für Treuhand-Reporting vorbereiten</w:t>
            </w:r>
          </w:p>
        </w:tc>
        <w:tc>
          <w:tcPr>
            <w:tcW w:type="dxa" w:w="2268"/>
          </w:tcPr>
          <w:p>
            <w:r>
              <w:rPr>
                <w:rFonts w:ascii="Times New Roman" w:hAnsi="Times New Roman"/>
                <w:sz w:val="20"/>
              </w:rPr>
              <w:t>⚠ IT-Termin 17.06.2026</w:t>
            </w:r>
          </w:p>
        </w:tc>
        <w:tc>
          <w:tcPr>
            <w:tcW w:type="dxa" w:w="2268"/>
          </w:tcPr>
          <w:p>
            <w:r>
              <w:rPr>
                <w:rFonts w:ascii="Times New Roman" w:hAnsi="Times New Roman"/>
                <w:sz w:val="20"/>
              </w:rPr>
              <w:t>17.06.2026</w:t>
            </w:r>
          </w:p>
        </w:tc>
      </w:tr>
      <w:tr>
        <w:tc>
          <w:tcPr>
            <w:tcW w:type="dxa" w:w="2268"/>
          </w:tcPr>
          <w:p>
            <w:r>
              <w:rPr>
                <w:rFonts w:ascii="Times New Roman" w:hAnsi="Times New Roman"/>
                <w:sz w:val="20"/>
              </w:rPr>
              <w:t>E5</w:t>
            </w:r>
          </w:p>
        </w:tc>
        <w:tc>
          <w:tcPr>
            <w:tcW w:type="dxa" w:w="2268"/>
          </w:tcPr>
          <w:p>
            <w:r>
              <w:rPr>
                <w:rFonts w:ascii="Times New Roman" w:hAnsi="Times New Roman"/>
                <w:sz w:val="20"/>
              </w:rPr>
              <w:t>Factoring-Angebot einholen (nach Planbestätigung)</w:t>
            </w:r>
          </w:p>
        </w:tc>
        <w:tc>
          <w:tcPr>
            <w:tcW w:type="dxa" w:w="2268"/>
          </w:tcPr>
          <w:p>
            <w:r>
              <w:rPr>
                <w:rFonts w:ascii="Times New Roman" w:hAnsi="Times New Roman"/>
                <w:sz w:val="20"/>
              </w:rPr>
              <w:t>⚠ Anfrage läuft</w:t>
            </w:r>
          </w:p>
        </w:tc>
        <w:tc>
          <w:tcPr>
            <w:tcW w:type="dxa" w:w="2268"/>
          </w:tcPr>
          <w:p>
            <w:r>
              <w:rPr>
                <w:rFonts w:ascii="Times New Roman" w:hAnsi="Times New Roman"/>
                <w:sz w:val="20"/>
              </w:rPr>
              <w:t>30.06.2026</w:t>
            </w:r>
          </w:p>
        </w:tc>
      </w:tr>
    </w:tbl>
    <w:p>
      <w:pPr>
        <w:spacing w:line="259" w:lineRule="auto" w:after="60"/>
      </w:pPr>
    </w:p>
    <w:p>
      <w:pPr>
        <w:pStyle w:val="Heading2"/>
        <w:spacing w:line="259" w:lineRule="auto" w:after="60"/>
      </w:pPr>
      <w:r>
        <w:rPr>
          <w:rFonts w:ascii="Times New Roman" w:hAnsi="Times New Roman"/>
        </w:rPr>
        <w:t>F. Gesamtbewertung Einreichungsbereitschaft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Ampel</w:t>
            </w:r>
          </w:p>
        </w:tc>
        <w:tc>
          <w:tcPr>
            <w:tcW w:type="dxa" w:w="3024"/>
          </w:tcPr>
          <w:p>
            <w:r>
              <w:rPr>
                <w:rFonts w:ascii="Times New Roman" w:hAnsi="Times New Roman"/>
                <w:b/>
                <w:sz w:val="20"/>
              </w:rPr>
              <w:t>Kommentar</w:t>
            </w:r>
          </w:p>
        </w:tc>
      </w:tr>
      <w:tr>
        <w:tc>
          <w:tcPr>
            <w:tcW w:type="dxa" w:w="3024"/>
          </w:tcPr>
          <w:p>
            <w:r>
              <w:rPr>
                <w:rFonts w:ascii="Times New Roman" w:hAnsi="Times New Roman"/>
                <w:sz w:val="20"/>
              </w:rPr>
              <w:t>Pflichtbestandteile Plan</w:t>
            </w:r>
          </w:p>
        </w:tc>
        <w:tc>
          <w:tcPr>
            <w:tcW w:type="dxa" w:w="3024"/>
          </w:tcPr>
          <w:p>
            <w:r>
              <w:rPr>
                <w:rFonts w:ascii="Times New Roman" w:hAnsi="Times New Roman"/>
                <w:sz w:val="20"/>
              </w:rPr>
              <w:t>🟡 Gelb</w:t>
            </w:r>
          </w:p>
        </w:tc>
        <w:tc>
          <w:tcPr>
            <w:tcW w:type="dxa" w:w="3024"/>
          </w:tcPr>
          <w:p>
            <w:r>
              <w:rPr>
                <w:rFonts w:ascii="Times New Roman" w:hAnsi="Times New Roman"/>
                <w:sz w:val="20"/>
              </w:rPr>
              <w:t>4 Anlagen ausstehend</w:t>
            </w:r>
          </w:p>
        </w:tc>
      </w:tr>
      <w:tr>
        <w:tc>
          <w:tcPr>
            <w:tcW w:type="dxa" w:w="3024"/>
          </w:tcPr>
          <w:p>
            <w:r>
              <w:rPr>
                <w:rFonts w:ascii="Times New Roman" w:hAnsi="Times New Roman"/>
                <w:sz w:val="20"/>
              </w:rPr>
              <w:t>Prozessuale Voraussetzungen</w:t>
            </w:r>
          </w:p>
        </w:tc>
        <w:tc>
          <w:tcPr>
            <w:tcW w:type="dxa" w:w="3024"/>
          </w:tcPr>
          <w:p>
            <w:r>
              <w:rPr>
                <w:rFonts w:ascii="Times New Roman" w:hAnsi="Times New Roman"/>
                <w:sz w:val="20"/>
              </w:rPr>
              <w:t>🟡 Gelb</w:t>
            </w:r>
          </w:p>
        </w:tc>
        <w:tc>
          <w:tcPr>
            <w:tcW w:type="dxa" w:w="3024"/>
          </w:tcPr>
          <w:p>
            <w:r>
              <w:rPr>
                <w:rFonts w:ascii="Times New Roman" w:hAnsi="Times New Roman"/>
                <w:sz w:val="20"/>
              </w:rPr>
              <w:t>Gläubigerausschuss und Masseplan fehlen</w:t>
            </w:r>
          </w:p>
        </w:tc>
      </w:tr>
      <w:tr>
        <w:tc>
          <w:tcPr>
            <w:tcW w:type="dxa" w:w="3024"/>
          </w:tcPr>
          <w:p>
            <w:r>
              <w:rPr>
                <w:rFonts w:ascii="Times New Roman" w:hAnsi="Times New Roman"/>
                <w:sz w:val="20"/>
              </w:rPr>
              <w:t>Qualität Vergleichsrechnung</w:t>
            </w:r>
          </w:p>
        </w:tc>
        <w:tc>
          <w:tcPr>
            <w:tcW w:type="dxa" w:w="3024"/>
          </w:tcPr>
          <w:p>
            <w:r>
              <w:rPr>
                <w:rFonts w:ascii="Times New Roman" w:hAnsi="Times New Roman"/>
                <w:sz w:val="20"/>
              </w:rPr>
              <w:t>🔴 Rot</w:t>
            </w:r>
          </w:p>
        </w:tc>
        <w:tc>
          <w:tcPr>
            <w:tcW w:type="dxa" w:w="3024"/>
          </w:tcPr>
          <w:p>
            <w:r>
              <w:rPr>
                <w:rFonts w:ascii="Times New Roman" w:hAnsi="Times New Roman"/>
                <w:sz w:val="20"/>
              </w:rPr>
              <w:t>Übertragungsszenario fehlt; Cram-Down-Risiko</w:t>
            </w:r>
          </w:p>
        </w:tc>
      </w:tr>
      <w:tr>
        <w:tc>
          <w:tcPr>
            <w:tcW w:type="dxa" w:w="3024"/>
          </w:tcPr>
          <w:p>
            <w:r>
              <w:rPr>
                <w:rFonts w:ascii="Times New Roman" w:hAnsi="Times New Roman"/>
                <w:sz w:val="20"/>
              </w:rPr>
              <w:t>Investor-Absicherung</w:t>
            </w:r>
          </w:p>
        </w:tc>
        <w:tc>
          <w:tcPr>
            <w:tcW w:type="dxa" w:w="3024"/>
          </w:tcPr>
          <w:p>
            <w:r>
              <w:rPr>
                <w:rFonts w:ascii="Times New Roman" w:hAnsi="Times New Roman"/>
                <w:sz w:val="20"/>
              </w:rPr>
              <w:t>🔴 Rot</w:t>
            </w:r>
          </w:p>
        </w:tc>
        <w:tc>
          <w:tcPr>
            <w:tcW w:type="dxa" w:w="3024"/>
          </w:tcPr>
          <w:p>
            <w:r>
              <w:rPr>
                <w:rFonts w:ascii="Times New Roman" w:hAnsi="Times New Roman"/>
                <w:sz w:val="20"/>
              </w:rPr>
              <w:t>MAC-Risiko offen</w:t>
            </w:r>
          </w:p>
        </w:tc>
      </w:tr>
      <w:tr>
        <w:tc>
          <w:tcPr>
            <w:tcW w:type="dxa" w:w="3024"/>
          </w:tcPr>
          <w:p>
            <w:r>
              <w:rPr>
                <w:rFonts w:ascii="Times New Roman" w:hAnsi="Times New Roman"/>
                <w:sz w:val="20"/>
              </w:rPr>
              <w:t>Stakeholder-Kommunikation</w:t>
            </w:r>
          </w:p>
        </w:tc>
        <w:tc>
          <w:tcPr>
            <w:tcW w:type="dxa" w:w="3024"/>
          </w:tcPr>
          <w:p>
            <w:r>
              <w:rPr>
                <w:rFonts w:ascii="Times New Roman" w:hAnsi="Times New Roman"/>
                <w:sz w:val="20"/>
              </w:rPr>
              <w:t>🟡 Gelb</w:t>
            </w:r>
          </w:p>
        </w:tc>
        <w:tc>
          <w:tcPr>
            <w:tcW w:type="dxa" w:w="3024"/>
          </w:tcPr>
          <w:p>
            <w:r>
              <w:rPr>
                <w:rFonts w:ascii="Times New Roman" w:hAnsi="Times New Roman"/>
                <w:sz w:val="20"/>
              </w:rPr>
              <w:t>Mehrere Briefe ausstehend</w:t>
            </w:r>
          </w:p>
        </w:tc>
      </w:tr>
      <w:tr>
        <w:tc>
          <w:tcPr>
            <w:tcW w:type="dxa" w:w="3024"/>
          </w:tcPr>
          <w:p>
            <w:r>
              <w:rPr>
                <w:rFonts w:ascii="Times New Roman" w:hAnsi="Times New Roman"/>
                <w:sz w:val="20"/>
              </w:rPr>
              <w:t>Planvollzug-Vorbereitung</w:t>
            </w:r>
          </w:p>
        </w:tc>
        <w:tc>
          <w:tcPr>
            <w:tcW w:type="dxa" w:w="3024"/>
          </w:tcPr>
          <w:p>
            <w:r>
              <w:rPr>
                <w:rFonts w:ascii="Times New Roman" w:hAnsi="Times New Roman"/>
                <w:sz w:val="20"/>
              </w:rPr>
              <w:t>🟢 Grün</w:t>
            </w:r>
          </w:p>
        </w:tc>
        <w:tc>
          <w:tcPr>
            <w:tcW w:type="dxa" w:w="3024"/>
          </w:tcPr>
          <w:p>
            <w:r>
              <w:rPr>
                <w:rFonts w:ascii="Times New Roman" w:hAnsi="Times New Roman"/>
                <w:sz w:val="20"/>
              </w:rPr>
              <w:t>Grundstruktur steht</w:t>
            </w:r>
          </w:p>
        </w:tc>
      </w:tr>
    </w:tbl>
    <w:p>
      <w:pPr>
        <w:spacing w:line="259" w:lineRule="auto" w:after="60"/>
        <w:jc w:val="left"/>
      </w:pPr>
      <w:r>
        <w:rPr>
          <w:b/>
        </w:rPr>
        <w:t>Empfehlung:</w:t>
      </w:r>
      <w:r>
        <w:t xml:space="preserve"> Planeinreichung erst am 16. Juni 2026 nach Behebung der roten Punkte. Deadline ist realistisch, wenn alle Beteiligten bis 15. Juni 2026 liefern. Bei Verzug einer Partei (insbes. Rechtsgutachten Globalzession) ist eine Verschiebung auf 20. Juni 2026 in Erwägung zu ziehen.</w:t>
      </w:r>
    </w:p>
    <w:p>
      <w:pPr>
        <w:spacing w:line="259" w:lineRule="auto" w:after="60"/>
      </w:pPr>
    </w:p>
    <w:p>
      <w:pPr>
        <w:spacing w:line="259" w:lineRule="auto" w:after="60"/>
        <w:jc w:val="left"/>
      </w:pPr>
      <w:r>
        <w:rPr>
          <w:i/>
        </w:rPr>
        <w:t>Stand und Ampelbewertung gelten zum 13. Juni 2026. Aktualisierung täglich bis Einreichung.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