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2026-INS-8834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Rangrücktritt Entwurf</w:t>
      </w:r>
    </w:p>
    <w:p>
      <w:pPr>
        <w:spacing w:line="259" w:lineRule="auto" w:after="60"/>
        <w:jc w:val="both"/>
      </w:pPr>
      <w:r>
        <w:t>Der Entwurf stellt Zahlungen nur aus freien, nicht zur Schuldendeckung benötigten Liquiditätsüberschüssen in Aussicht. Er benennt Insolvenzgläubiger als begünstigte Dritte und untersagt Tilgung, wenn dadurch Insolvenzreife vertieft würde.</w:t>
      </w:r>
    </w:p>
    <w:p>
      <w:pPr>
        <w:spacing w:line="259" w:lineRule="auto" w:after="60"/>
        <w:jc w:val="both"/>
      </w:pPr>
      <w:r>
        <w:t>Offen sind Laufzeit, Zinsbehandlung, handelsbilanzielle Einordnung und Zustimmung des Familiengesellschafters.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