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2026-INS-0373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Schutzschirm Antrag Arbeitsfassung</w:t>
      </w:r>
    </w:p>
    <w:p>
      <w:pPr>
        <w:spacing w:line="259" w:lineRule="auto" w:after="60"/>
        <w:jc w:val="both"/>
      </w:pPr>
      <w:r/>
      <w:r>
        <w:t>Der Antrag beschreibt drohende Zahlungsunfähigkeit, Sanierungsfähigkeit und Eigenverwaltungsorganisation. Noch offen sind die endgültige Bescheinigung, der Sachwaltervorschlag und die Besetzung eines vorläufigen Gläubigerausschusses.</w:t>
      </w:r>
    </w:p>
    <w:p>
      <w:pPr>
        <w:spacing w:line="259" w:lineRule="auto" w:after="60"/>
        <w:jc w:val="both"/>
      </w:pPr>
      <w:r>
        <w:t>Die Fassung ist ein Arbeitsstand für Berater und Geschäftsleitung, nicht versandfertig.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