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2026-INS-7594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Forderungsanmeldung Vermieter</w:t>
      </w:r>
    </w:p>
    <w:p>
      <w:pPr>
        <w:spacing w:line="259" w:lineRule="auto" w:after="60"/>
        <w:jc w:val="both"/>
      </w:pPr>
      <w:r>
        <w:t>Der Vermieter meldet Rückstände aus April bis Juni, Nutzungsentschädigung nach Verfahrenseröffnung und Schadenspositionen aus Rückbau an. Er beansprucht zusätzlich Zugriff auf die Mietkaution.</w:t>
      </w:r>
    </w:p>
    <w:p>
      <w:pPr>
        <w:spacing w:line="259" w:lineRule="auto" w:after="60"/>
        <w:jc w:val="both"/>
      </w:pPr>
      <w:r>
        <w:t>Die Anmeldung vermischt Insolvenzforderung und mögliche Masseforderung.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