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2026-INS-2278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Bankverrechnung Kontokorrent</w:t>
      </w:r>
    </w:p>
    <w:p>
      <w:pPr>
        <w:spacing w:line="259" w:lineRule="auto" w:after="60"/>
        <w:jc w:val="both"/>
      </w:pPr>
      <w:r>
        <w:t>Die Bank verrechnet Gutschriften aus Unterkundenverträgen mit Sollsaldo. Der Verwalter prüft, ob die Verrechnung insolvenzrechtlich angreifbar oder durch Sicherheiten gedeckt ist.</w:t>
      </w:r>
    </w:p>
    <w:p>
      <w:pPr>
        <w:spacing w:line="259" w:lineRule="auto" w:after="60"/>
        <w:jc w:val="both"/>
      </w:pPr>
      <w:r>
        <w:t>Der Kontoauszug zeigt Sammelbuchungen ohne Kundenreferenz.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