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2026-INS-8700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Vorbereitung Prüfungstermin</w:t>
      </w:r>
    </w:p>
    <w:p>
      <w:pPr>
        <w:spacing w:line="259" w:lineRule="auto" w:after="60"/>
        <w:jc w:val="both"/>
      </w:pPr>
      <w:r>
        <w:t>Die Tabelle trennt bestrittene Forderungen, vorläufig feststellbare Insolvenzforderungen und Punkte, die als Masseverbindlichkeit gesondert zu behandeln sind.</w:t>
      </w:r>
    </w:p>
    <w:p>
      <w:pPr>
        <w:spacing w:line="259" w:lineRule="auto" w:after="60"/>
        <w:jc w:val="both"/>
      </w:pPr>
      <w:r>
        <w:t>Die Anlagenlogik muss so vorbereitet werden, dass Widersprüche im Termin nachvollziehbar begründet werden können.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