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Lindenhof und Partner mbB | Aktenzeichen intern 2026-INS-5682</w:t>
      </w:r>
    </w:p>
    <w:p>
      <w:pPr>
        <w:pStyle w:val="Heading1"/>
        <w:spacing w:before="120" w:after="60" w:line="259" w:lineRule="auto"/>
      </w:pPr>
      <w:r>
        <w:rPr>
          <w:rFonts w:ascii="Times New Roman" w:hAnsi="Times New Roman"/>
          <w:b/>
          <w:sz w:val="22"/>
        </w:rPr>
        <w:t>Rückgabeprotokoll Fläche</w:t>
      </w:r>
    </w:p>
    <w:p>
      <w:pPr>
        <w:spacing w:line="259" w:lineRule="auto" w:after="60"/>
        <w:jc w:val="both"/>
      </w:pPr>
      <w:r>
        <w:t>Die Fläche wurde mit 214 Möbelstücken, 39 fehlenden Stühlen, zwei beschädigten Glastüren und ausgebauter Zutrittskontrolle zurückgegeben.</w:t>
      </w:r>
    </w:p>
    <w:p>
      <w:pPr>
        <w:spacing w:line="259" w:lineRule="auto" w:after="60"/>
        <w:jc w:val="both"/>
      </w:pPr>
      <w:r>
        <w:t>Ob die Möbel der Schuldnerin, dem Vermieter oder Leasinggebern gehören, ist nach dem Protokoll offen.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