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Gläubigerantrag auf Eröffnung des Insolvenzverfahrens</w:t>
      </w:r>
    </w:p>
    <w:p>
      <w:pPr>
        <w:spacing w:before="120" w:after="60" w:line="259" w:lineRule="auto"/>
        <w:ind w:left="567"/>
      </w:pPr>
      <w:r>
        <w:rPr>
          <w:rFonts w:ascii="Times New Roman" w:hAnsi="Times New Roman"/>
          <w:b/>
          <w:i/>
          <w:sz w:val="22"/>
        </w:rPr>
        <w:t>An das</w:t>
      </w:r>
    </w:p>
    <w:p>
      <w:pPr>
        <w:spacing w:before="120" w:after="60" w:line="259" w:lineRule="auto"/>
        <w:ind w:left="567"/>
      </w:pPr>
      <w:r>
        <w:rPr>
          <w:rFonts w:ascii="Times New Roman" w:hAnsi="Times New Roman"/>
          <w:b/>
          <w:i/>
          <w:sz w:val="22"/>
        </w:rPr>
        <w:t>Amtsgericht Stendal – Insolvenzgericht –</w:t>
      </w:r>
    </w:p>
    <w:p>
      <w:pPr>
        <w:spacing w:before="120" w:after="60" w:line="259" w:lineRule="auto"/>
        <w:ind w:left="567"/>
      </w:pPr>
      <w:r>
        <w:rPr>
          <w:rFonts w:ascii="Times New Roman" w:hAnsi="Times New Roman"/>
          <w:b/>
          <w:i/>
          <w:sz w:val="22"/>
        </w:rPr>
        <w:t>Hospitalstraße 4, 39576 Stendal</w:t>
      </w:r>
    </w:p>
    <w:p>
      <w:pPr>
        <w:spacing w:line="259" w:lineRule="auto" w:after="60"/>
        <w:ind w:left="567"/>
      </w:pPr>
    </w:p>
    <w:p>
      <w:pPr>
        <w:spacing w:before="120" w:after="60" w:line="259" w:lineRule="auto"/>
        <w:ind w:left="567"/>
      </w:pPr>
      <w:r>
        <w:rPr>
          <w:rFonts w:ascii="Times New Roman" w:hAnsi="Times New Roman"/>
          <w:b/>
          <w:i/>
          <w:sz w:val="22"/>
        </w:rPr>
        <w:t>Antragstellerin:</w:t>
      </w:r>
      <w:r>
        <w:rPr>
          <w:rFonts w:ascii="Times New Roman" w:hAnsi="Times New Roman"/>
          <w:b/>
          <w:i/>
          <w:sz w:val="22"/>
        </w:rPr>
        <w:t xml:space="preserve"> Furnier Nord GmbH, Brückenweg 7, 21337 Lüneburg</w:t>
      </w:r>
    </w:p>
    <w:p>
      <w:pPr>
        <w:spacing w:before="120" w:after="60" w:line="259" w:lineRule="auto"/>
        <w:ind w:left="567"/>
      </w:pPr>
      <w:r>
        <w:rPr>
          <w:rFonts w:ascii="Times New Roman" w:hAnsi="Times New Roman"/>
          <w:b/>
          <w:i/>
          <w:sz w:val="22"/>
        </w:rPr>
        <w:t>Schuldnerin:</w:t>
      </w:r>
      <w:r>
        <w:rPr>
          <w:rFonts w:ascii="Times New Roman" w:hAnsi="Times New Roman"/>
          <w:b/>
          <w:i/>
          <w:sz w:val="22"/>
        </w:rPr>
        <w:t xml:space="preserve"> Möbelwerk Havelberg GmbH, Werftstraße 14, 39539 Havelberg</w:t>
      </w:r>
    </w:p>
    <w:p>
      <w:pPr>
        <w:spacing w:before="120" w:after="60" w:line="259" w:lineRule="auto"/>
        <w:ind w:left="567"/>
      </w:pPr>
      <w:r>
        <w:rPr>
          <w:rFonts w:ascii="Times New Roman" w:hAnsi="Times New Roman"/>
          <w:b w:val="0"/>
          <w:i w:val="0"/>
          <w:sz w:val="22"/>
        </w:rPr>
        <w:t>Datum:</w:t>
      </w:r>
      <w:r>
        <w:rPr>
          <w:rFonts w:ascii="Times New Roman" w:hAnsi="Times New Roman"/>
          <w:b w:val="0"/>
          <w:i w:val="0"/>
          <w:sz w:val="22"/>
        </w:rPr>
        <w:t xml:space="preserve"> 04.05.2026</w:t>
      </w:r>
    </w:p>
    <w:p>
      <w:pPr>
        <w:spacing w:line="259" w:lineRule="auto" w:after="60"/>
      </w:pPr>
    </w:p>
    <w:p>
      <w:pPr>
        <w:pStyle w:val="Heading2"/>
        <w:spacing w:line="259" w:lineRule="auto" w:after="60"/>
      </w:pPr>
      <w:r>
        <w:rPr>
          <w:rFonts w:ascii="Times New Roman" w:hAnsi="Times New Roman"/>
        </w:rPr>
        <w:t>Antrag</w:t>
      </w:r>
    </w:p>
    <w:p>
      <w:pPr>
        <w:spacing w:line="259" w:lineRule="auto" w:after="60"/>
        <w:jc w:val="left"/>
      </w:pPr>
      <w:r>
        <w:t>Die Furnier Nord GmbH, vertreten durch ihre Geschäftsführerin Petra Großmann, stellt hiermit</w:t>
      </w:r>
    </w:p>
    <w:p>
      <w:pPr>
        <w:spacing w:line="259" w:lineRule="auto" w:after="60"/>
        <w:jc w:val="left"/>
      </w:pPr>
      <w:r>
        <w:rPr>
          <w:b/>
        </w:rPr>
        <w:t>Antrag auf Eröffnung des Insolvenzverfahrens</w:t>
      </w:r>
    </w:p>
    <w:p>
      <w:pPr>
        <w:spacing w:line="259" w:lineRule="auto" w:after="60"/>
        <w:jc w:val="left"/>
      </w:pPr>
      <w:r>
        <w:t>über das Vermögen der Möbelwerk Havelberg GmbH, eingetragen im Handelsregister des Amtsgerichts Stendal unter HRB 18742, mit Sitz in 39539 Havelberg, Werftstraße 14, vertreten durch den Geschäftsführer Tim Brauer.</w:t>
      </w:r>
    </w:p>
    <w:p>
      <w:pPr>
        <w:spacing w:line="259" w:lineRule="auto" w:after="60"/>
      </w:pPr>
    </w:p>
    <w:p>
      <w:pPr>
        <w:pStyle w:val="Heading2"/>
        <w:spacing w:line="259" w:lineRule="auto" w:after="60"/>
      </w:pPr>
      <w:r>
        <w:rPr>
          <w:rFonts w:ascii="Times New Roman" w:hAnsi="Times New Roman"/>
        </w:rPr>
        <w:t>Antragsbefugnis und Forderungsnachweis (§ 14 InsO)</w:t>
      </w:r>
    </w:p>
    <w:p>
      <w:pPr>
        <w:spacing w:line="259" w:lineRule="auto" w:after="60"/>
        <w:jc w:val="left"/>
      </w:pPr>
      <w:r>
        <w:t xml:space="preserve">Die Antragstellerin ist Gläubigerin der Schuldnerin aus laufenden Warenliefergeschäften. Die Antragstellerin lieferte der Schuldnerin in der Zeit von </w:t>
      </w:r>
      <w:r>
        <w:rPr>
          <w:b/>
        </w:rPr>
        <w:t>Januar bis März 2026</w:t>
      </w:r>
      <w:r>
        <w:t xml:space="preserve"> Furniermaterialien und Holzwerkstoffe auf der Grundlage des Rahmenliefervertrages vom 12.06.2024. Trotz ordnungsgemäßer Leistungserbringung und fristgerechter Rechnungsstellung sind folgende Forderungen offen und fällig: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Rechnungsnummer</w:t>
            </w:r>
          </w:p>
        </w:tc>
        <w:tc>
          <w:tcPr>
            <w:tcW w:type="dxa" w:w="2268"/>
          </w:tcPr>
          <w:p>
            <w:r>
              <w:rPr>
                <w:rFonts w:ascii="Times New Roman" w:hAnsi="Times New Roman"/>
                <w:b/>
                <w:sz w:val="20"/>
              </w:rPr>
              <w:t>Rechnungsdatum</w:t>
            </w:r>
          </w:p>
        </w:tc>
        <w:tc>
          <w:tcPr>
            <w:tcW w:type="dxa" w:w="2268"/>
          </w:tcPr>
          <w:p>
            <w:r>
              <w:rPr>
                <w:rFonts w:ascii="Times New Roman" w:hAnsi="Times New Roman"/>
                <w:b/>
                <w:sz w:val="20"/>
              </w:rPr>
              <w:t>Fälligkeit</w:t>
            </w:r>
          </w:p>
        </w:tc>
        <w:tc>
          <w:tcPr>
            <w:tcW w:type="dxa" w:w="2268"/>
          </w:tcPr>
          <w:p>
            <w:r>
              <w:rPr>
                <w:rFonts w:ascii="Times New Roman" w:hAnsi="Times New Roman"/>
                <w:b/>
                <w:sz w:val="20"/>
              </w:rPr>
              <w:t>Betrag (EUR)</w:t>
            </w:r>
          </w:p>
        </w:tc>
      </w:tr>
      <w:tr>
        <w:tc>
          <w:tcPr>
            <w:tcW w:type="dxa" w:w="2268"/>
          </w:tcPr>
          <w:p>
            <w:r>
              <w:rPr>
                <w:rFonts w:ascii="Times New Roman" w:hAnsi="Times New Roman"/>
                <w:sz w:val="20"/>
              </w:rPr>
              <w:t>FN-2026-0312</w:t>
            </w:r>
          </w:p>
        </w:tc>
        <w:tc>
          <w:tcPr>
            <w:tcW w:type="dxa" w:w="2268"/>
          </w:tcPr>
          <w:p>
            <w:r>
              <w:rPr>
                <w:rFonts w:ascii="Times New Roman" w:hAnsi="Times New Roman"/>
                <w:sz w:val="20"/>
              </w:rPr>
              <w:t>15.01.2026</w:t>
            </w:r>
          </w:p>
        </w:tc>
        <w:tc>
          <w:tcPr>
            <w:tcW w:type="dxa" w:w="2268"/>
          </w:tcPr>
          <w:p>
            <w:r>
              <w:rPr>
                <w:rFonts w:ascii="Times New Roman" w:hAnsi="Times New Roman"/>
                <w:sz w:val="20"/>
              </w:rPr>
              <w:t>14.02.2026</w:t>
            </w:r>
          </w:p>
        </w:tc>
        <w:tc>
          <w:tcPr>
            <w:tcW w:type="dxa" w:w="2268"/>
          </w:tcPr>
          <w:p>
            <w:r>
              <w:rPr>
                <w:rFonts w:ascii="Times New Roman" w:hAnsi="Times New Roman"/>
                <w:sz w:val="20"/>
              </w:rPr>
              <w:t>41.200,00</w:t>
            </w:r>
          </w:p>
        </w:tc>
      </w:tr>
      <w:tr>
        <w:tc>
          <w:tcPr>
            <w:tcW w:type="dxa" w:w="2268"/>
          </w:tcPr>
          <w:p>
            <w:r>
              <w:rPr>
                <w:rFonts w:ascii="Times New Roman" w:hAnsi="Times New Roman"/>
                <w:sz w:val="20"/>
              </w:rPr>
              <w:t>FN-2026-0387</w:t>
            </w:r>
          </w:p>
        </w:tc>
        <w:tc>
          <w:tcPr>
            <w:tcW w:type="dxa" w:w="2268"/>
          </w:tcPr>
          <w:p>
            <w:r>
              <w:rPr>
                <w:rFonts w:ascii="Times New Roman" w:hAnsi="Times New Roman"/>
                <w:sz w:val="20"/>
              </w:rPr>
              <w:t>03.02.2026</w:t>
            </w:r>
          </w:p>
        </w:tc>
        <w:tc>
          <w:tcPr>
            <w:tcW w:type="dxa" w:w="2268"/>
          </w:tcPr>
          <w:p>
            <w:r>
              <w:rPr>
                <w:rFonts w:ascii="Times New Roman" w:hAnsi="Times New Roman"/>
                <w:sz w:val="20"/>
              </w:rPr>
              <w:t>05.03.2026</w:t>
            </w:r>
          </w:p>
        </w:tc>
        <w:tc>
          <w:tcPr>
            <w:tcW w:type="dxa" w:w="2268"/>
          </w:tcPr>
          <w:p>
            <w:r>
              <w:rPr>
                <w:rFonts w:ascii="Times New Roman" w:hAnsi="Times New Roman"/>
                <w:sz w:val="20"/>
              </w:rPr>
              <w:t>52.440,00</w:t>
            </w:r>
          </w:p>
        </w:tc>
      </w:tr>
      <w:tr>
        <w:tc>
          <w:tcPr>
            <w:tcW w:type="dxa" w:w="2268"/>
          </w:tcPr>
          <w:p>
            <w:r>
              <w:rPr>
                <w:rFonts w:ascii="Times New Roman" w:hAnsi="Times New Roman"/>
                <w:sz w:val="20"/>
              </w:rPr>
              <w:t>FN-2026-0441</w:t>
            </w:r>
          </w:p>
        </w:tc>
        <w:tc>
          <w:tcPr>
            <w:tcW w:type="dxa" w:w="2268"/>
          </w:tcPr>
          <w:p>
            <w:r>
              <w:rPr>
                <w:rFonts w:ascii="Times New Roman" w:hAnsi="Times New Roman"/>
                <w:sz w:val="20"/>
              </w:rPr>
              <w:t>17.02.2026</w:t>
            </w:r>
          </w:p>
        </w:tc>
        <w:tc>
          <w:tcPr>
            <w:tcW w:type="dxa" w:w="2268"/>
          </w:tcPr>
          <w:p>
            <w:r>
              <w:rPr>
                <w:rFonts w:ascii="Times New Roman" w:hAnsi="Times New Roman"/>
                <w:sz w:val="20"/>
              </w:rPr>
              <w:t>19.03.2026</w:t>
            </w:r>
          </w:p>
        </w:tc>
        <w:tc>
          <w:tcPr>
            <w:tcW w:type="dxa" w:w="2268"/>
          </w:tcPr>
          <w:p>
            <w:r>
              <w:rPr>
                <w:rFonts w:ascii="Times New Roman" w:hAnsi="Times New Roman"/>
                <w:sz w:val="20"/>
              </w:rPr>
              <w:t>38.780,00</w:t>
            </w:r>
          </w:p>
        </w:tc>
      </w:tr>
      <w:tr>
        <w:tc>
          <w:tcPr>
            <w:tcW w:type="dxa" w:w="2268"/>
          </w:tcPr>
          <w:p>
            <w:r>
              <w:rPr>
                <w:rFonts w:ascii="Times New Roman" w:hAnsi="Times New Roman"/>
                <w:sz w:val="20"/>
              </w:rPr>
              <w:t>FN-2026-0509</w:t>
            </w:r>
          </w:p>
        </w:tc>
        <w:tc>
          <w:tcPr>
            <w:tcW w:type="dxa" w:w="2268"/>
          </w:tcPr>
          <w:p>
            <w:r>
              <w:rPr>
                <w:rFonts w:ascii="Times New Roman" w:hAnsi="Times New Roman"/>
                <w:sz w:val="20"/>
              </w:rPr>
              <w:t>10.03.2026</w:t>
            </w:r>
          </w:p>
        </w:tc>
        <w:tc>
          <w:tcPr>
            <w:tcW w:type="dxa" w:w="2268"/>
          </w:tcPr>
          <w:p>
            <w:r>
              <w:rPr>
                <w:rFonts w:ascii="Times New Roman" w:hAnsi="Times New Roman"/>
                <w:sz w:val="20"/>
              </w:rPr>
              <w:t>09.04.2026</w:t>
            </w:r>
          </w:p>
        </w:tc>
        <w:tc>
          <w:tcPr>
            <w:tcW w:type="dxa" w:w="2268"/>
          </w:tcPr>
          <w:p>
            <w:r>
              <w:rPr>
                <w:rFonts w:ascii="Times New Roman" w:hAnsi="Times New Roman"/>
                <w:sz w:val="20"/>
              </w:rPr>
              <w:t>54.000,00</w:t>
            </w:r>
          </w:p>
        </w:tc>
      </w:tr>
      <w:tr>
        <w:tc>
          <w:tcPr>
            <w:tcW w:type="dxa" w:w="2268"/>
          </w:tcPr>
          <w:p>
            <w:r>
              <w:rPr>
                <w:rFonts w:ascii="Times New Roman" w:hAnsi="Times New Roman"/>
                <w:b/>
                <w:sz w:val="20"/>
              </w:rPr>
              <w:t>Gesamt</w:t>
            </w:r>
          </w:p>
        </w:tc>
        <w:tc>
          <w:tcPr>
            <w:tcW w:type="dxa" w:w="2268"/>
          </w:tcPr>
          <w:p/>
        </w:tc>
        <w:tc>
          <w:tcPr>
            <w:tcW w:type="dxa" w:w="2268"/>
          </w:tcPr>
          <w:p/>
        </w:tc>
        <w:tc>
          <w:tcPr>
            <w:tcW w:type="dxa" w:w="2268"/>
          </w:tcPr>
          <w:p>
            <w:r>
              <w:rPr>
                <w:rFonts w:ascii="Times New Roman" w:hAnsi="Times New Roman"/>
                <w:b/>
                <w:sz w:val="20"/>
              </w:rPr>
              <w:t>186.420,00</w:t>
            </w:r>
          </w:p>
        </w:tc>
      </w:tr>
    </w:tbl>
    <w:p>
      <w:pPr>
        <w:spacing w:line="259" w:lineRule="auto" w:after="60"/>
        <w:jc w:val="left"/>
      </w:pPr>
      <w:r>
        <w:t>Die Forderungen sind fällig, einredefrei und nicht durch Sicherheiten gedeckt. Kopien der Rechnungen und Lieferscheine sind beigefügt (Anlagen 1–8).</w:t>
      </w:r>
    </w:p>
    <w:p>
      <w:pPr>
        <w:spacing w:line="259" w:lineRule="auto" w:after="60"/>
      </w:pPr>
    </w:p>
    <w:p>
      <w:pPr>
        <w:pStyle w:val="Heading2"/>
        <w:spacing w:line="259" w:lineRule="auto" w:after="60"/>
      </w:pPr>
      <w:r>
        <w:rPr>
          <w:rFonts w:ascii="Times New Roman" w:hAnsi="Times New Roman"/>
        </w:rPr>
        <w:t>Insolvenzgrund: Zahlungsunfähigkeit (§ 17 InsO)</w:t>
      </w:r>
    </w:p>
    <w:p>
      <w:pPr>
        <w:spacing w:line="259" w:lineRule="auto" w:after="60"/>
        <w:jc w:val="left"/>
      </w:pPr>
      <w:r>
        <w:t>Die Schuldnerin ist zahlungsunfähig im Sinne des § 17 InsO. Sie ist nicht in der Lage, ihre fälligen Zahlungspflichten zu erfüllen. Dies ergibt sich aus folgenden Umständen:</w:t>
      </w:r>
    </w:p>
    <w:p>
      <w:pPr>
        <w:spacing w:line="259" w:lineRule="auto" w:after="60"/>
        <w:jc w:val="left"/>
      </w:pPr>
      <w:r>
        <w:rPr>
          <w:b/>
        </w:rPr>
        <w:t>1. Erfolgloser Mahnlauf</w:t>
      </w:r>
    </w:p>
    <w:p>
      <w:pPr>
        <w:spacing w:line="259" w:lineRule="auto" w:after="60"/>
        <w:jc w:val="left"/>
      </w:pPr>
      <w:r>
        <w:t>Die Antragstellerin mahnte die offenen Beträge zunächst mit Zahlungserinnerung vom 18.03.2026, sodann mit förmlicher Mahnung vom 26.03.2026 und schließlich mit Letztmahnung vom 10.04.2026 an. Auf die Letztmahnung reagierte der Geschäftsführer der Schuldnerin per E-Mail vom 12.04.2026 mit der Erklärung, er könne derzeit "keine Zahlung in Aussicht stellen" und bitte um Geduld.</w:t>
      </w:r>
    </w:p>
    <w:p>
      <w:pPr>
        <w:spacing w:line="259" w:lineRule="auto" w:after="60"/>
        <w:jc w:val="left"/>
      </w:pPr>
      <w:r>
        <w:rPr>
          <w:b/>
        </w:rPr>
        <w:t>2. Gescheiterter Ratenplan</w:t>
      </w:r>
    </w:p>
    <w:p>
      <w:pPr>
        <w:spacing w:line="259" w:lineRule="auto" w:after="60"/>
        <w:jc w:val="left"/>
      </w:pPr>
      <w:r>
        <w:t>Am 15.03.2026 schlossen die Parteien eine Ratenzahlungsvereinbarung. Danach verpflichtete sich die Schuldnerin zur Zahlung von jeweils 18.000,00 EUR am 05.03.2026, 20.03.2026 und 05.04.2026 sowie zur vollständigen Begleichung des Restsaldos bis 30.04.2026. Die erste Rate wurde am 05.03.2026 geleistet. Die zweite Rate vom 20.03.2026 wurde nach einer Rücklastschrift vom 22.03.2026 erst am 01.04.2026 erneut überwiesen. Die dritte Rate und der Restsaldo blieben vollständig aus.</w:t>
      </w:r>
    </w:p>
    <w:p>
      <w:pPr>
        <w:spacing w:line="259" w:lineRule="auto" w:after="60"/>
        <w:jc w:val="left"/>
      </w:pPr>
      <w:r>
        <w:rPr>
          <w:b/>
        </w:rPr>
        <w:t>3. Weitere Zahlungsausfälle</w:t>
      </w:r>
    </w:p>
    <w:p>
      <w:pPr>
        <w:spacing w:line="259" w:lineRule="auto" w:after="60"/>
        <w:jc w:val="left"/>
      </w:pPr>
      <w:r>
        <w:t>Nach Marktrecherche und Gesprächen in der Branche hat die Antragstellerin Kenntnis erlangt, dass weitere Lieferanten der Schuldnerin ebenfalls offene Forderungen aus dem ersten Quartal 2026 haben und die Schuldnerin auch dort Zahlungen eingestellt hat.</w:t>
      </w:r>
    </w:p>
    <w:p>
      <w:pPr>
        <w:spacing w:line="259" w:lineRule="auto" w:after="60"/>
        <w:jc w:val="left"/>
      </w:pPr>
      <w:r>
        <w:rPr>
          <w:b/>
        </w:rPr>
        <w:t>4. Wirtschaftliche Lage</w:t>
      </w:r>
    </w:p>
    <w:p>
      <w:pPr>
        <w:spacing w:line="259" w:lineRule="auto" w:after="60"/>
        <w:jc w:val="left"/>
      </w:pPr>
      <w:r>
        <w:t>Aus den der Antragstellerin vorliegenden Jahresabschlüssen ergibt sich für das Geschäftsjahr 2024 ein erheblicher Jahresverlust bei gleichzeitig negativem Eigenkapital laut vorläufigen Zahlen. Die Bilanzsumme schrumpfte zuletzt deutlich. Die Schuldnerin beschäftigt ca. 38 Mitarbeiter; es ist davon auszugehen, dass Sozialversicherungsbeiträge und Lohnsteuern aus den letzten Monaten ebenfalls rückständig sind.</w:t>
      </w:r>
    </w:p>
    <w:p>
      <w:pPr>
        <w:spacing w:line="259" w:lineRule="auto" w:after="60"/>
      </w:pPr>
    </w:p>
    <w:p>
      <w:pPr>
        <w:pStyle w:val="Heading2"/>
        <w:spacing w:line="259" w:lineRule="auto" w:after="60"/>
      </w:pPr>
      <w:r>
        <w:rPr>
          <w:rFonts w:ascii="Times New Roman" w:hAnsi="Times New Roman"/>
        </w:rPr>
        <w:t>Antrag auf Sicherungsmaßnahmen (§ 21 InsO)</w:t>
      </w:r>
    </w:p>
    <w:p>
      <w:pPr>
        <w:spacing w:line="259" w:lineRule="auto" w:after="60"/>
        <w:jc w:val="left"/>
      </w:pPr>
      <w:r>
        <w:t>Gleichzeitig wird beantragt, zur Sicherung der Masse bis zur Entscheidung über die Eröffnung des Insolvenzverfahrens folgende Sicherungsmaßnahmen anzuordnen:</w:t>
      </w:r>
    </w:p>
    <w:p>
      <w:pPr>
        <w:pStyle w:val="ListNumber"/>
        <w:spacing w:line="259" w:lineRule="auto" w:after="60"/>
      </w:pPr>
      <w:r>
        <w:t>Bestellung eines vorläufigen Insolvenzverwalters;</w:t>
      </w:r>
    </w:p>
    <w:p>
      <w:pPr>
        <w:pStyle w:val="ListNumber"/>
        <w:spacing w:line="259" w:lineRule="auto" w:after="60"/>
      </w:pPr>
      <w:r>
        <w:t>Anordnung des allgemeinen Verfügungsverbots gem. § 21 Abs. 2 Satz 1 Nr. 1 InsO;</w:t>
      </w:r>
    </w:p>
    <w:p>
      <w:pPr>
        <w:pStyle w:val="ListNumber"/>
        <w:spacing w:line="259" w:lineRule="auto" w:after="60"/>
      </w:pPr>
      <w:r>
        <w:t>Untersagung bzw. Einstellung von Zwangsvollstreckungsmaßnahmen gegen die Schuldnerin (§ 21 Abs. 2 Satz 1 Nr. 3 InsO).</w:t>
      </w:r>
    </w:p>
    <w:p>
      <w:pPr>
        <w:spacing w:line="259" w:lineRule="auto" w:after="60"/>
      </w:pPr>
    </w:p>
    <w:p>
      <w:pPr>
        <w:pStyle w:val="Heading2"/>
        <w:spacing w:line="259" w:lineRule="auto" w:after="60"/>
      </w:pPr>
      <w:r>
        <w:rPr>
          <w:rFonts w:ascii="Times New Roman" w:hAnsi="Times New Roman"/>
        </w:rPr>
        <w:t>Glaubhaftmachung</w:t>
      </w:r>
    </w:p>
    <w:p>
      <w:pPr>
        <w:spacing w:line="259" w:lineRule="auto" w:after="60"/>
        <w:jc w:val="left"/>
      </w:pPr>
      <w:r>
        <w:t>Die Voraussetzungen des § 14 InsO werden glaubhaft gemacht durch:</w:t>
      </w:r>
    </w:p>
    <w:p>
      <w:pPr>
        <w:pStyle w:val="ListBullet"/>
        <w:spacing w:line="259" w:lineRule="auto" w:after="60"/>
      </w:pPr>
      <w:r>
        <w:t>Anlage 1–8: Rechnungen und Lieferscheine Januar–März 2026</w:t>
      </w:r>
    </w:p>
    <w:p>
      <w:pPr>
        <w:pStyle w:val="ListBullet"/>
        <w:spacing w:line="259" w:lineRule="auto" w:after="60"/>
      </w:pPr>
      <w:r>
        <w:t>Anlage 9: Mahnung vom 18.03.2026</w:t>
      </w:r>
    </w:p>
    <w:p>
      <w:pPr>
        <w:pStyle w:val="ListBullet"/>
        <w:spacing w:line="259" w:lineRule="auto" w:after="60"/>
      </w:pPr>
      <w:r>
        <w:t>Anlage 10: Mahnung vom 26.03.2026</w:t>
      </w:r>
    </w:p>
    <w:p>
      <w:pPr>
        <w:pStyle w:val="ListBullet"/>
        <w:spacing w:line="259" w:lineRule="auto" w:after="60"/>
      </w:pPr>
      <w:r>
        <w:t>Anlage 11: Letztmahnung vom 10.04.2026</w:t>
      </w:r>
    </w:p>
    <w:p>
      <w:pPr>
        <w:pStyle w:val="ListBullet"/>
        <w:spacing w:line="259" w:lineRule="auto" w:after="60"/>
      </w:pPr>
      <w:r>
        <w:t>Anlage 12: E-Mail Geschäftsführer Tim Brauer vom 12.04.2026</w:t>
      </w:r>
    </w:p>
    <w:p>
      <w:pPr>
        <w:pStyle w:val="ListBullet"/>
        <w:spacing w:line="259" w:lineRule="auto" w:after="60"/>
      </w:pPr>
      <w:r>
        <w:t>Anlage 13: Ratenplan vom 15.03.2026 mit Buchungsbelegen</w:t>
      </w:r>
    </w:p>
    <w:p>
      <w:pPr>
        <w:pStyle w:val="ListBullet"/>
        <w:spacing w:line="259" w:lineRule="auto" w:after="60"/>
      </w:pPr>
      <w:r>
        <w:t>Anlage 14: Rücklastschriftbeleg 22.03.2026</w:t>
      </w:r>
    </w:p>
    <w:p>
      <w:pPr>
        <w:spacing w:line="259" w:lineRule="auto" w:after="60"/>
      </w:pPr>
    </w:p>
    <w:p>
      <w:pPr>
        <w:pStyle w:val="Heading2"/>
        <w:spacing w:line="259" w:lineRule="auto" w:after="60"/>
      </w:pPr>
      <w:r>
        <w:rPr>
          <w:rFonts w:ascii="Times New Roman" w:hAnsi="Times New Roman"/>
        </w:rPr>
        <w:t>Kostenvorschuss</w:t>
      </w:r>
    </w:p>
    <w:p>
      <w:pPr>
        <w:spacing w:line="259" w:lineRule="auto" w:after="60"/>
        <w:jc w:val="left"/>
      </w:pPr>
      <w:r>
        <w:t>Die Antragstellerin ist bereit, den gerichtlich festzusetzenden Kostenvorschuss nach Aufforderung durch das Gericht zu zahlen (§ 26 Abs. 4 InsO).</w:t>
      </w:r>
    </w:p>
    <w:p>
      <w:pPr>
        <w:spacing w:line="259" w:lineRule="auto" w:after="60"/>
      </w:pPr>
    </w:p>
    <w:p>
      <w:pPr>
        <w:spacing w:line="259" w:lineRule="auto" w:after="60"/>
        <w:jc w:val="left"/>
      </w:pPr>
      <w:r>
        <w:t>Lüneburg, 04.05.2026</w:t>
      </w:r>
    </w:p>
    <w:p>
      <w:pPr>
        <w:spacing w:line="259" w:lineRule="auto" w:after="60"/>
        <w:jc w:val="left"/>
      </w:pPr>
      <w:r>
        <w:rPr>
          <w:b/>
        </w:rPr>
        <w:t>Furnier Nord GmbH</w:t>
      </w:r>
    </w:p>
    <w:p>
      <w:pPr>
        <w:spacing w:line="259" w:lineRule="auto" w:after="60"/>
        <w:jc w:val="left"/>
      </w:pPr>
      <w:r>
        <w:t>gez. Petra Großmann, Geschäftsführerin</w:t>
      </w:r>
    </w:p>
    <w:p>
      <w:pPr>
        <w:spacing w:line="259" w:lineRule="auto" w:after="60"/>
      </w:pPr>
    </w:p>
    <w:p>
      <w:pPr>
        <w:spacing w:line="259" w:lineRule="auto" w:after="60"/>
        <w:jc w:val="left"/>
      </w:pPr>
      <w:r>
        <w:rPr>
          <w:i/>
        </w:rPr>
        <w:t>Anlagen: 14 Stück, in Kopie beigefügt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