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Anfechtungsmatrix – Lieferant und Bank</w:t>
      </w:r>
    </w:p>
    <w:p>
      <w:pPr>
        <w:spacing w:before="120" w:after="60" w:line="259" w:lineRule="auto"/>
        <w:ind w:left="567"/>
      </w:pPr>
      <w:r>
        <w:rPr>
          <w:rFonts w:ascii="Times New Roman" w:hAnsi="Times New Roman"/>
          <w:b/>
          <w:i/>
          <w:sz w:val="22"/>
        </w:rPr>
        <w:t>Amtsgericht Stendal, Az. 7 IN 41/26</w:t>
      </w:r>
    </w:p>
    <w:p>
      <w:pPr>
        <w:spacing w:before="120" w:after="60" w:line="259" w:lineRule="auto"/>
        <w:ind w:left="567"/>
      </w:pPr>
      <w:r>
        <w:rPr>
          <w:rFonts w:ascii="Times New Roman" w:hAnsi="Times New Roman"/>
          <w:b/>
          <w:i/>
          <w:sz w:val="22"/>
        </w:rPr>
        <w:t>Möbelwerk Havelberg GmbH – Insolvenzverfahren</w:t>
      </w:r>
    </w:p>
    <w:p>
      <w:pPr>
        <w:spacing w:before="120" w:after="60" w:line="259" w:lineRule="auto"/>
        <w:ind w:left="567"/>
      </w:pPr>
      <w:r>
        <w:rPr>
          <w:rFonts w:ascii="Times New Roman" w:hAnsi="Times New Roman"/>
          <w:b/>
          <w:i/>
          <w:sz w:val="22"/>
        </w:rPr>
        <w:t>Bearbeitung: Dr. Nora Westphal, Insolvenzverwalterin</w:t>
      </w:r>
    </w:p>
    <w:p>
      <w:pPr>
        <w:spacing w:before="120" w:after="60" w:line="259" w:lineRule="auto"/>
        <w:ind w:left="567"/>
      </w:pPr>
      <w:r>
        <w:rPr>
          <w:rFonts w:ascii="Times New Roman" w:hAnsi="Times New Roman"/>
          <w:b/>
          <w:i/>
          <w:sz w:val="22"/>
        </w:rPr>
        <w:t>Stand: 20.07.2026</w:t>
      </w:r>
    </w:p>
    <w:p>
      <w:pPr>
        <w:spacing w:line="259" w:lineRule="auto" w:after="60"/>
      </w:pPr>
    </w:p>
    <w:p>
      <w:pPr>
        <w:pStyle w:val="Heading2"/>
        <w:spacing w:before="120" w:after="60" w:line="259" w:lineRule="auto"/>
      </w:pPr>
      <w:r>
        <w:rPr>
          <w:rFonts w:ascii="Times New Roman" w:hAnsi="Times New Roman"/>
          <w:b/>
          <w:sz w:val="22"/>
        </w:rPr>
        <w:t>Vorbemerkung</w:t>
      </w:r>
    </w:p>
    <w:p>
      <w:pPr>
        <w:spacing w:line="259" w:lineRule="auto" w:after="60"/>
        <w:jc w:val="left"/>
      </w:pPr>
      <w:r>
        <w:t xml:space="preserve">Nach Auswertung der Kontoauszüge (Januar bis Eröffnung 12.06.2026) und des Schuldnerfragebogens wurden folgende Zahlungen als potenzielle Anfechtungstatbestände identifiziert. Die Analyse folgt §§ 129 ff. InsO. Die maßgebliche 3-Monats-Frist vor Antragstellung (04.05.2026) beginnt am </w:t>
      </w:r>
      <w:r>
        <w:rPr>
          <w:b/>
        </w:rPr>
        <w:t>04.02.2026</w:t>
      </w:r>
      <w:r>
        <w:t>; die 10-Jahres-Frist für vorsätzliche Benachteiligung reicht bis 04.05.2016.</w:t>
      </w:r>
    </w:p>
    <w:p>
      <w:pPr>
        <w:spacing w:line="259" w:lineRule="auto" w:after="60"/>
      </w:pPr>
    </w:p>
    <w:p>
      <w:pPr>
        <w:pStyle w:val="Heading2"/>
        <w:spacing w:line="259" w:lineRule="auto" w:after="60"/>
      </w:pPr>
      <w:r>
        <w:rPr>
          <w:rFonts w:ascii="Times New Roman" w:hAnsi="Times New Roman"/>
        </w:rPr>
        <w:t>Anfechtungsmatrix</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r>
              <w:rPr>
                <w:rFonts w:ascii="Times New Roman" w:hAnsi="Times New Roman"/>
                <w:b/>
                <w:sz w:val="20"/>
              </w:rPr>
              <w:t>Nr.</w:t>
            </w:r>
          </w:p>
        </w:tc>
        <w:tc>
          <w:tcPr>
            <w:tcW w:type="dxa" w:w="1008"/>
          </w:tcPr>
          <w:p>
            <w:r>
              <w:rPr>
                <w:rFonts w:ascii="Times New Roman" w:hAnsi="Times New Roman"/>
                <w:b/>
                <w:sz w:val="20"/>
              </w:rPr>
              <w:t>Empfänger</w:t>
            </w:r>
          </w:p>
        </w:tc>
        <w:tc>
          <w:tcPr>
            <w:tcW w:type="dxa" w:w="1008"/>
          </w:tcPr>
          <w:p>
            <w:r>
              <w:rPr>
                <w:rFonts w:ascii="Times New Roman" w:hAnsi="Times New Roman"/>
                <w:b/>
                <w:sz w:val="20"/>
              </w:rPr>
              <w:t>Datum</w:t>
            </w:r>
          </w:p>
        </w:tc>
        <w:tc>
          <w:tcPr>
            <w:tcW w:type="dxa" w:w="1008"/>
          </w:tcPr>
          <w:p>
            <w:r>
              <w:rPr>
                <w:rFonts w:ascii="Times New Roman" w:hAnsi="Times New Roman"/>
                <w:b/>
                <w:sz w:val="20"/>
              </w:rPr>
              <w:t>Betrag (EUR)</w:t>
            </w:r>
          </w:p>
        </w:tc>
        <w:tc>
          <w:tcPr>
            <w:tcW w:type="dxa" w:w="1008"/>
          </w:tcPr>
          <w:p>
            <w:r>
              <w:rPr>
                <w:rFonts w:ascii="Times New Roman" w:hAnsi="Times New Roman"/>
                <w:b/>
                <w:sz w:val="20"/>
              </w:rPr>
              <w:t>Norm</w:t>
            </w:r>
          </w:p>
        </w:tc>
        <w:tc>
          <w:tcPr>
            <w:tcW w:type="dxa" w:w="1008"/>
          </w:tcPr>
          <w:p>
            <w:r>
              <w:rPr>
                <w:rFonts w:ascii="Times New Roman" w:hAnsi="Times New Roman"/>
                <w:b/>
                <w:sz w:val="20"/>
              </w:rPr>
              <w:t>Tatbestand</w:t>
            </w:r>
          </w:p>
        </w:tc>
        <w:tc>
          <w:tcPr>
            <w:tcW w:type="dxa" w:w="1008"/>
          </w:tcPr>
          <w:p>
            <w:r>
              <w:rPr>
                <w:rFonts w:ascii="Times New Roman" w:hAnsi="Times New Roman"/>
                <w:b/>
                <w:sz w:val="20"/>
              </w:rPr>
              <w:t>Indizien</w:t>
            </w:r>
          </w:p>
        </w:tc>
        <w:tc>
          <w:tcPr>
            <w:tcW w:type="dxa" w:w="1008"/>
          </w:tcPr>
          <w:p>
            <w:r>
              <w:rPr>
                <w:rFonts w:ascii="Times New Roman" w:hAnsi="Times New Roman"/>
                <w:b/>
                <w:sz w:val="20"/>
              </w:rPr>
              <w:t>Bewertung</w:t>
            </w:r>
          </w:p>
        </w:tc>
        <w:tc>
          <w:tcPr>
            <w:tcW w:type="dxa" w:w="1008"/>
          </w:tcPr>
          <w:p>
            <w:r>
              <w:rPr>
                <w:rFonts w:ascii="Times New Roman" w:hAnsi="Times New Roman"/>
                <w:b/>
                <w:sz w:val="20"/>
              </w:rPr>
              <w:t>Status</w:t>
            </w:r>
          </w:p>
        </w:tc>
      </w:tr>
      <w:tr>
        <w:tc>
          <w:tcPr>
            <w:tcW w:type="dxa" w:w="1008"/>
          </w:tcPr>
          <w:p>
            <w:r>
              <w:rPr>
                <w:rFonts w:ascii="Times New Roman" w:hAnsi="Times New Roman"/>
                <w:sz w:val="20"/>
              </w:rPr>
              <w:t>A-1</w:t>
            </w:r>
          </w:p>
        </w:tc>
        <w:tc>
          <w:tcPr>
            <w:tcW w:type="dxa" w:w="1008"/>
          </w:tcPr>
          <w:p>
            <w:r>
              <w:rPr>
                <w:rFonts w:ascii="Times New Roman" w:hAnsi="Times New Roman"/>
                <w:sz w:val="20"/>
              </w:rPr>
              <w:t>Furnier Nord GmbH</w:t>
            </w:r>
          </w:p>
        </w:tc>
        <w:tc>
          <w:tcPr>
            <w:tcW w:type="dxa" w:w="1008"/>
          </w:tcPr>
          <w:p>
            <w:r>
              <w:rPr>
                <w:rFonts w:ascii="Times New Roman" w:hAnsi="Times New Roman"/>
                <w:sz w:val="20"/>
              </w:rPr>
              <w:t>20.03.2026</w:t>
            </w:r>
          </w:p>
        </w:tc>
        <w:tc>
          <w:tcPr>
            <w:tcW w:type="dxa" w:w="1008"/>
          </w:tcPr>
          <w:p>
            <w:r>
              <w:rPr>
                <w:rFonts w:ascii="Times New Roman" w:hAnsi="Times New Roman"/>
                <w:sz w:val="20"/>
              </w:rPr>
              <w:t>18.000,00</w:t>
            </w:r>
          </w:p>
        </w:tc>
        <w:tc>
          <w:tcPr>
            <w:tcW w:type="dxa" w:w="1008"/>
          </w:tcPr>
          <w:p>
            <w:r>
              <w:rPr>
                <w:rFonts w:ascii="Times New Roman" w:hAnsi="Times New Roman"/>
                <w:sz w:val="20"/>
              </w:rPr>
              <w:t>§ 131 Abs. 1 Nr. 1 InsO</w:t>
            </w:r>
          </w:p>
        </w:tc>
        <w:tc>
          <w:tcPr>
            <w:tcW w:type="dxa" w:w="1008"/>
          </w:tcPr>
          <w:p>
            <w:r>
              <w:rPr>
                <w:rFonts w:ascii="Times New Roman" w:hAnsi="Times New Roman"/>
                <w:sz w:val="20"/>
              </w:rPr>
              <w:t>Inkongruente Deckung</w:t>
            </w:r>
          </w:p>
        </w:tc>
        <w:tc>
          <w:tcPr>
            <w:tcW w:type="dxa" w:w="1008"/>
          </w:tcPr>
          <w:p>
            <w:r>
              <w:rPr>
                <w:rFonts w:ascii="Times New Roman" w:hAnsi="Times New Roman"/>
                <w:sz w:val="20"/>
              </w:rPr>
              <w:t>Zahlung unter Ratenplan erst nach Rücklastschrift und erneuter Mahnung; Abweichung von vereinbartem Fälligkeitsdatum</w:t>
            </w:r>
          </w:p>
        </w:tc>
        <w:tc>
          <w:tcPr>
            <w:tcW w:type="dxa" w:w="1008"/>
          </w:tcPr>
          <w:p>
            <w:r>
              <w:rPr>
                <w:rFonts w:ascii="Times New Roman" w:hAnsi="Times New Roman"/>
                <w:b/>
                <w:sz w:val="20"/>
              </w:rPr>
              <w:t>Stark</w:t>
            </w:r>
          </w:p>
        </w:tc>
        <w:tc>
          <w:tcPr>
            <w:tcW w:type="dxa" w:w="1008"/>
          </w:tcPr>
          <w:p>
            <w:r>
              <w:rPr>
                <w:rFonts w:ascii="Times New Roman" w:hAnsi="Times New Roman"/>
                <w:sz w:val="20"/>
              </w:rPr>
              <w:t>Klagevorbereitung</w:t>
            </w:r>
          </w:p>
        </w:tc>
      </w:tr>
      <w:tr>
        <w:tc>
          <w:tcPr>
            <w:tcW w:type="dxa" w:w="1008"/>
          </w:tcPr>
          <w:p>
            <w:r>
              <w:rPr>
                <w:rFonts w:ascii="Times New Roman" w:hAnsi="Times New Roman"/>
                <w:sz w:val="20"/>
              </w:rPr>
              <w:t>A-2</w:t>
            </w:r>
          </w:p>
        </w:tc>
        <w:tc>
          <w:tcPr>
            <w:tcW w:type="dxa" w:w="1008"/>
          </w:tcPr>
          <w:p>
            <w:r>
              <w:rPr>
                <w:rFonts w:ascii="Times New Roman" w:hAnsi="Times New Roman"/>
                <w:sz w:val="20"/>
              </w:rPr>
              <w:t>Havelbank eG</w:t>
            </w:r>
          </w:p>
        </w:tc>
        <w:tc>
          <w:tcPr>
            <w:tcW w:type="dxa" w:w="1008"/>
          </w:tcPr>
          <w:p>
            <w:r>
              <w:rPr>
                <w:rFonts w:ascii="Times New Roman" w:hAnsi="Times New Roman"/>
                <w:sz w:val="20"/>
              </w:rPr>
              <w:t>02.04.2026</w:t>
            </w:r>
          </w:p>
        </w:tc>
        <w:tc>
          <w:tcPr>
            <w:tcW w:type="dxa" w:w="1008"/>
          </w:tcPr>
          <w:p>
            <w:r>
              <w:rPr>
                <w:rFonts w:ascii="Times New Roman" w:hAnsi="Times New Roman"/>
                <w:sz w:val="20"/>
              </w:rPr>
              <w:t>35.000,00</w:t>
            </w:r>
          </w:p>
        </w:tc>
        <w:tc>
          <w:tcPr>
            <w:tcW w:type="dxa" w:w="1008"/>
          </w:tcPr>
          <w:p>
            <w:r>
              <w:rPr>
                <w:rFonts w:ascii="Times New Roman" w:hAnsi="Times New Roman"/>
                <w:sz w:val="20"/>
              </w:rPr>
              <w:t>§ 131 Abs. 1 Nr. 1 InsO</w:t>
            </w:r>
          </w:p>
        </w:tc>
        <w:tc>
          <w:tcPr>
            <w:tcW w:type="dxa" w:w="1008"/>
          </w:tcPr>
          <w:p>
            <w:r>
              <w:rPr>
                <w:rFonts w:ascii="Times New Roman" w:hAnsi="Times New Roman"/>
                <w:sz w:val="20"/>
              </w:rPr>
              <w:t>Inkongruente Deckung</w:t>
            </w:r>
          </w:p>
        </w:tc>
        <w:tc>
          <w:tcPr>
            <w:tcW w:type="dxa" w:w="1008"/>
          </w:tcPr>
          <w:p>
            <w:r>
              <w:rPr>
                <w:rFonts w:ascii="Times New Roman" w:hAnsi="Times New Roman"/>
                <w:sz w:val="20"/>
              </w:rPr>
              <w:t>Sondertilgung nur nach Kontosperrandrohung der Bank; Bank hatte keinen fälligen Anspruch auf Sondertilgung</w:t>
            </w:r>
          </w:p>
        </w:tc>
        <w:tc>
          <w:tcPr>
            <w:tcW w:type="dxa" w:w="1008"/>
          </w:tcPr>
          <w:p>
            <w:r>
              <w:rPr>
                <w:rFonts w:ascii="Times New Roman" w:hAnsi="Times New Roman"/>
                <w:b/>
                <w:sz w:val="20"/>
              </w:rPr>
              <w:t>Stark</w:t>
            </w:r>
          </w:p>
        </w:tc>
        <w:tc>
          <w:tcPr>
            <w:tcW w:type="dxa" w:w="1008"/>
          </w:tcPr>
          <w:p>
            <w:r>
              <w:rPr>
                <w:rFonts w:ascii="Times New Roman" w:hAnsi="Times New Roman"/>
                <w:sz w:val="20"/>
              </w:rPr>
              <w:t>Klagevorbereitung</w:t>
            </w:r>
          </w:p>
        </w:tc>
      </w:tr>
      <w:tr>
        <w:tc>
          <w:tcPr>
            <w:tcW w:type="dxa" w:w="1008"/>
          </w:tcPr>
          <w:p>
            <w:r>
              <w:rPr>
                <w:rFonts w:ascii="Times New Roman" w:hAnsi="Times New Roman"/>
                <w:sz w:val="20"/>
              </w:rPr>
              <w:t>A-3</w:t>
            </w:r>
          </w:p>
        </w:tc>
        <w:tc>
          <w:tcPr>
            <w:tcW w:type="dxa" w:w="1008"/>
          </w:tcPr>
          <w:p>
            <w:r>
              <w:rPr>
                <w:rFonts w:ascii="Times New Roman" w:hAnsi="Times New Roman"/>
                <w:sz w:val="20"/>
              </w:rPr>
              <w:t>Tim Brauer (Gesellschafter)</w:t>
            </w:r>
          </w:p>
        </w:tc>
        <w:tc>
          <w:tcPr>
            <w:tcW w:type="dxa" w:w="1008"/>
          </w:tcPr>
          <w:p>
            <w:r>
              <w:rPr>
                <w:rFonts w:ascii="Times New Roman" w:hAnsi="Times New Roman"/>
                <w:sz w:val="20"/>
              </w:rPr>
              <w:t>11.04.2026</w:t>
            </w:r>
          </w:p>
        </w:tc>
        <w:tc>
          <w:tcPr>
            <w:tcW w:type="dxa" w:w="1008"/>
          </w:tcPr>
          <w:p>
            <w:r>
              <w:rPr>
                <w:rFonts w:ascii="Times New Roman" w:hAnsi="Times New Roman"/>
                <w:sz w:val="20"/>
              </w:rPr>
              <w:t>12.500,00</w:t>
            </w:r>
          </w:p>
        </w:tc>
        <w:tc>
          <w:tcPr>
            <w:tcW w:type="dxa" w:w="1008"/>
          </w:tcPr>
          <w:p>
            <w:r>
              <w:rPr>
                <w:rFonts w:ascii="Times New Roman" w:hAnsi="Times New Roman"/>
                <w:sz w:val="20"/>
              </w:rPr>
              <w:t>§ 135 Abs. 1 Nr. 2 InsO</w:t>
            </w:r>
          </w:p>
        </w:tc>
        <w:tc>
          <w:tcPr>
            <w:tcW w:type="dxa" w:w="1008"/>
          </w:tcPr>
          <w:p>
            <w:r>
              <w:rPr>
                <w:rFonts w:ascii="Times New Roman" w:hAnsi="Times New Roman"/>
                <w:sz w:val="20"/>
              </w:rPr>
              <w:t>Gesellschafterdarlehens-Rückzahlung</w:t>
            </w:r>
          </w:p>
        </w:tc>
        <w:tc>
          <w:tcPr>
            <w:tcW w:type="dxa" w:w="1008"/>
          </w:tcPr>
          <w:p>
            <w:r>
              <w:rPr>
                <w:rFonts w:ascii="Times New Roman" w:hAnsi="Times New Roman"/>
                <w:sz w:val="20"/>
              </w:rPr>
              <w:t>Rückführung eines Gesellschafterdarlehens innerhalb von 1 Jahr vor Antragstellung; Kenntnis der Insolvenzgefahr</w:t>
            </w:r>
          </w:p>
        </w:tc>
        <w:tc>
          <w:tcPr>
            <w:tcW w:type="dxa" w:w="1008"/>
          </w:tcPr>
          <w:p>
            <w:r>
              <w:rPr>
                <w:rFonts w:ascii="Times New Roman" w:hAnsi="Times New Roman"/>
                <w:b/>
                <w:sz w:val="20"/>
              </w:rPr>
              <w:t>Stark</w:t>
            </w:r>
          </w:p>
        </w:tc>
        <w:tc>
          <w:tcPr>
            <w:tcW w:type="dxa" w:w="1008"/>
          </w:tcPr>
          <w:p>
            <w:r>
              <w:rPr>
                <w:rFonts w:ascii="Times New Roman" w:hAnsi="Times New Roman"/>
                <w:sz w:val="20"/>
              </w:rPr>
              <w:t>Klagevorbereitung</w:t>
            </w:r>
          </w:p>
        </w:tc>
      </w:tr>
      <w:tr>
        <w:tc>
          <w:tcPr>
            <w:tcW w:type="dxa" w:w="1008"/>
          </w:tcPr>
          <w:p>
            <w:r>
              <w:rPr>
                <w:rFonts w:ascii="Times New Roman" w:hAnsi="Times New Roman"/>
                <w:sz w:val="20"/>
              </w:rPr>
              <w:t>A-4</w:t>
            </w:r>
          </w:p>
        </w:tc>
        <w:tc>
          <w:tcPr>
            <w:tcW w:type="dxa" w:w="1008"/>
          </w:tcPr>
          <w:p>
            <w:r>
              <w:rPr>
                <w:rFonts w:ascii="Times New Roman" w:hAnsi="Times New Roman"/>
                <w:sz w:val="20"/>
              </w:rPr>
              <w:t>Brauer Holding UG</w:t>
            </w:r>
          </w:p>
        </w:tc>
        <w:tc>
          <w:tcPr>
            <w:tcW w:type="dxa" w:w="1008"/>
          </w:tcPr>
          <w:p>
            <w:r>
              <w:rPr>
                <w:rFonts w:ascii="Times New Roman" w:hAnsi="Times New Roman"/>
                <w:sz w:val="20"/>
              </w:rPr>
              <w:t>29.04.2026</w:t>
            </w:r>
          </w:p>
        </w:tc>
        <w:tc>
          <w:tcPr>
            <w:tcW w:type="dxa" w:w="1008"/>
          </w:tcPr>
          <w:p>
            <w:r>
              <w:rPr>
                <w:rFonts w:ascii="Times New Roman" w:hAnsi="Times New Roman"/>
                <w:sz w:val="20"/>
              </w:rPr>
              <w:t>9.500,00</w:t>
            </w:r>
          </w:p>
        </w:tc>
        <w:tc>
          <w:tcPr>
            <w:tcW w:type="dxa" w:w="1008"/>
          </w:tcPr>
          <w:p>
            <w:r>
              <w:rPr>
                <w:rFonts w:ascii="Times New Roman" w:hAnsi="Times New Roman"/>
                <w:sz w:val="20"/>
              </w:rPr>
              <w:t>§ 133 Abs. 1 InsO</w:t>
            </w:r>
          </w:p>
        </w:tc>
        <w:tc>
          <w:tcPr>
            <w:tcW w:type="dxa" w:w="1008"/>
          </w:tcPr>
          <w:p>
            <w:r>
              <w:rPr>
                <w:rFonts w:ascii="Times New Roman" w:hAnsi="Times New Roman"/>
                <w:sz w:val="20"/>
              </w:rPr>
              <w:t>Vorsätzliche Gläubigerbenachteiligung</w:t>
            </w:r>
          </w:p>
        </w:tc>
        <w:tc>
          <w:tcPr>
            <w:tcW w:type="dxa" w:w="1008"/>
          </w:tcPr>
          <w:p>
            <w:r>
              <w:rPr>
                <w:rFonts w:ascii="Times New Roman" w:hAnsi="Times New Roman"/>
                <w:sz w:val="20"/>
              </w:rPr>
              <w:t>Managementfee an nahestehende Gesellschaft (GF Tim Brauer Gesellschafter der Holding); Zeitpunkt kurz vor Antragstellung; kein erkennbarer Gegenwert</w:t>
            </w:r>
          </w:p>
        </w:tc>
        <w:tc>
          <w:tcPr>
            <w:tcW w:type="dxa" w:w="1008"/>
          </w:tcPr>
          <w:p>
            <w:r>
              <w:rPr>
                <w:rFonts w:ascii="Times New Roman" w:hAnsi="Times New Roman"/>
                <w:b/>
                <w:sz w:val="20"/>
              </w:rPr>
              <w:t>Mittel–Stark</w:t>
            </w:r>
          </w:p>
        </w:tc>
        <w:tc>
          <w:tcPr>
            <w:tcW w:type="dxa" w:w="1008"/>
          </w:tcPr>
          <w:p>
            <w:r>
              <w:rPr>
                <w:rFonts w:ascii="Times New Roman" w:hAnsi="Times New Roman"/>
                <w:sz w:val="20"/>
              </w:rPr>
              <w:t>Klagevorbereitung</w:t>
            </w:r>
          </w:p>
        </w:tc>
      </w:tr>
      <w:tr>
        <w:tc>
          <w:tcPr>
            <w:tcW w:type="dxa" w:w="1008"/>
          </w:tcPr>
          <w:p>
            <w:r>
              <w:rPr>
                <w:rFonts w:ascii="Times New Roman" w:hAnsi="Times New Roman"/>
                <w:sz w:val="20"/>
              </w:rPr>
              <w:t>A-5</w:t>
            </w:r>
          </w:p>
        </w:tc>
        <w:tc>
          <w:tcPr>
            <w:tcW w:type="dxa" w:w="1008"/>
          </w:tcPr>
          <w:p>
            <w:r>
              <w:rPr>
                <w:rFonts w:ascii="Times New Roman" w:hAnsi="Times New Roman"/>
                <w:sz w:val="20"/>
              </w:rPr>
              <w:t>Furnier Nord GmbH</w:t>
            </w:r>
          </w:p>
        </w:tc>
        <w:tc>
          <w:tcPr>
            <w:tcW w:type="dxa" w:w="1008"/>
          </w:tcPr>
          <w:p>
            <w:r>
              <w:rPr>
                <w:rFonts w:ascii="Times New Roman" w:hAnsi="Times New Roman"/>
                <w:sz w:val="20"/>
              </w:rPr>
              <w:t>05.03.2026</w:t>
            </w:r>
          </w:p>
        </w:tc>
        <w:tc>
          <w:tcPr>
            <w:tcW w:type="dxa" w:w="1008"/>
          </w:tcPr>
          <w:p>
            <w:r>
              <w:rPr>
                <w:rFonts w:ascii="Times New Roman" w:hAnsi="Times New Roman"/>
                <w:sz w:val="20"/>
              </w:rPr>
              <w:t>18.000,00</w:t>
            </w:r>
          </w:p>
        </w:tc>
        <w:tc>
          <w:tcPr>
            <w:tcW w:type="dxa" w:w="1008"/>
          </w:tcPr>
          <w:p>
            <w:r>
              <w:rPr>
                <w:rFonts w:ascii="Times New Roman" w:hAnsi="Times New Roman"/>
                <w:sz w:val="20"/>
              </w:rPr>
              <w:t>§ 130 Abs. 1 Nr. 1 InsO</w:t>
            </w:r>
          </w:p>
        </w:tc>
        <w:tc>
          <w:tcPr>
            <w:tcW w:type="dxa" w:w="1008"/>
          </w:tcPr>
          <w:p>
            <w:r>
              <w:rPr>
                <w:rFonts w:ascii="Times New Roman" w:hAnsi="Times New Roman"/>
                <w:sz w:val="20"/>
              </w:rPr>
              <w:t>Kongruente Deckung bei Zahlungsunfähigkeit</w:t>
            </w:r>
          </w:p>
        </w:tc>
        <w:tc>
          <w:tcPr>
            <w:tcW w:type="dxa" w:w="1008"/>
          </w:tcPr>
          <w:p>
            <w:r>
              <w:rPr>
                <w:rFonts w:ascii="Times New Roman" w:hAnsi="Times New Roman"/>
                <w:sz w:val="20"/>
              </w:rPr>
              <w:t>Erste Ratenplanrate; Kenntnis der ZU des Gläubigers zu prüfen</w:t>
            </w:r>
          </w:p>
        </w:tc>
        <w:tc>
          <w:tcPr>
            <w:tcW w:type="dxa" w:w="1008"/>
          </w:tcPr>
          <w:p>
            <w:r>
              <w:rPr>
                <w:rFonts w:ascii="Times New Roman" w:hAnsi="Times New Roman"/>
                <w:b/>
                <w:sz w:val="20"/>
              </w:rPr>
              <w:t>Schwach</w:t>
            </w:r>
          </w:p>
        </w:tc>
        <w:tc>
          <w:tcPr>
            <w:tcW w:type="dxa" w:w="1008"/>
          </w:tcPr>
          <w:p>
            <w:r>
              <w:rPr>
                <w:rFonts w:ascii="Times New Roman" w:hAnsi="Times New Roman"/>
                <w:sz w:val="20"/>
              </w:rPr>
              <w:t>Beobachten</w:t>
            </w:r>
          </w:p>
        </w:tc>
      </w:tr>
      <w:tr>
        <w:tc>
          <w:tcPr>
            <w:tcW w:type="dxa" w:w="1008"/>
          </w:tcPr>
          <w:p>
            <w:r>
              <w:rPr>
                <w:rFonts w:ascii="Times New Roman" w:hAnsi="Times New Roman"/>
                <w:sz w:val="20"/>
              </w:rPr>
              <w:t>A-6</w:t>
            </w:r>
          </w:p>
        </w:tc>
        <w:tc>
          <w:tcPr>
            <w:tcW w:type="dxa" w:w="1008"/>
          </w:tcPr>
          <w:p>
            <w:r>
              <w:rPr>
                <w:rFonts w:ascii="Times New Roman" w:hAnsi="Times New Roman"/>
                <w:sz w:val="20"/>
              </w:rPr>
              <w:t>Finanzamt Stendal</w:t>
            </w:r>
          </w:p>
        </w:tc>
        <w:tc>
          <w:tcPr>
            <w:tcW w:type="dxa" w:w="1008"/>
          </w:tcPr>
          <w:p>
            <w:r>
              <w:rPr>
                <w:rFonts w:ascii="Times New Roman" w:hAnsi="Times New Roman"/>
                <w:sz w:val="20"/>
              </w:rPr>
              <w:t>25.04.2026</w:t>
            </w:r>
          </w:p>
        </w:tc>
        <w:tc>
          <w:tcPr>
            <w:tcW w:type="dxa" w:w="1008"/>
          </w:tcPr>
          <w:p>
            <w:r>
              <w:rPr>
                <w:rFonts w:ascii="Times New Roman" w:hAnsi="Times New Roman"/>
                <w:sz w:val="20"/>
              </w:rPr>
              <w:t>8.300,00</w:t>
            </w:r>
          </w:p>
        </w:tc>
        <w:tc>
          <w:tcPr>
            <w:tcW w:type="dxa" w:w="1008"/>
          </w:tcPr>
          <w:p>
            <w:r>
              <w:rPr>
                <w:rFonts w:ascii="Times New Roman" w:hAnsi="Times New Roman"/>
                <w:sz w:val="20"/>
              </w:rPr>
              <w:t>§ 130 Abs. 1 Nr. 1 InsO</w:t>
            </w:r>
          </w:p>
        </w:tc>
        <w:tc>
          <w:tcPr>
            <w:tcW w:type="dxa" w:w="1008"/>
          </w:tcPr>
          <w:p>
            <w:r>
              <w:rPr>
                <w:rFonts w:ascii="Times New Roman" w:hAnsi="Times New Roman"/>
                <w:sz w:val="20"/>
              </w:rPr>
              <w:t>Kongruente Deckung; § 15b InsO</w:t>
            </w:r>
          </w:p>
        </w:tc>
        <w:tc>
          <w:tcPr>
            <w:tcW w:type="dxa" w:w="1008"/>
          </w:tcPr>
          <w:p>
            <w:r>
              <w:rPr>
                <w:rFonts w:ascii="Times New Roman" w:hAnsi="Times New Roman"/>
                <w:sz w:val="20"/>
              </w:rPr>
              <w:t>Lohnsteuerzahlung nach eingetretener Zahlungsunfähigkeit; Steuerbehörde kennt regelmäßig die Lage</w:t>
            </w:r>
          </w:p>
        </w:tc>
        <w:tc>
          <w:tcPr>
            <w:tcW w:type="dxa" w:w="1008"/>
          </w:tcPr>
          <w:p>
            <w:r>
              <w:rPr>
                <w:rFonts w:ascii="Times New Roman" w:hAnsi="Times New Roman"/>
                <w:b/>
                <w:sz w:val="20"/>
              </w:rPr>
              <w:t>Mittel</w:t>
            </w:r>
          </w:p>
        </w:tc>
        <w:tc>
          <w:tcPr>
            <w:tcW w:type="dxa" w:w="1008"/>
          </w:tcPr>
          <w:p>
            <w:r>
              <w:rPr>
                <w:rFonts w:ascii="Times New Roman" w:hAnsi="Times New Roman"/>
                <w:sz w:val="20"/>
              </w:rPr>
              <w:t>Prüfung § 15b Zusammenspiel</w:t>
            </w:r>
          </w:p>
        </w:tc>
      </w:tr>
    </w:tbl>
    <w:p>
      <w:pPr>
        <w:spacing w:line="259" w:lineRule="auto" w:after="60"/>
      </w:pPr>
    </w:p>
    <w:p>
      <w:pPr>
        <w:pStyle w:val="Heading2"/>
        <w:spacing w:line="259" w:lineRule="auto" w:after="60"/>
      </w:pPr>
      <w:r>
        <w:rPr>
          <w:rFonts w:ascii="Times New Roman" w:hAnsi="Times New Roman"/>
        </w:rPr>
        <w:t>Detailanalyse der stärksten Fälle</w:t>
      </w:r>
    </w:p>
    <w:p>
      <w:pPr>
        <w:pStyle w:val="Heading3"/>
        <w:spacing w:line="259" w:lineRule="auto" w:after="60"/>
      </w:pPr>
      <w:r>
        <w:rPr>
          <w:rFonts w:ascii="Times New Roman" w:hAnsi="Times New Roman"/>
        </w:rPr>
        <w:t>A-1: Furnier Nord GmbH – 18.000 EUR vom 20.03.2026</w:t>
      </w:r>
    </w:p>
    <w:p>
      <w:pPr>
        <w:spacing w:line="259" w:lineRule="auto" w:after="60"/>
        <w:jc w:val="left"/>
      </w:pPr>
      <w:r>
        <w:rPr>
          <w:b/>
        </w:rPr>
        <w:t>Sachverhalt:</w:t>
      </w:r>
      <w:r>
        <w:t xml:space="preserve"> Im Rahmen des Ratenplans vom 15.03.2026 war die zweite Rate am 20.03.2026 fällig. Die Überweisung wurde zunächst am 20.03.2026 ausgeführt, jedoch kam es am 22.03.2026 zu einer Rücklastschrift (NSF). Erst nach erneuter Mahnung vom 24.03.2026 wurde der Betrag am 01.04.2026 ein zweites Mal überwiesen. (Hinweis: Im Kontoauszug tauchen beide Buchungen auf – die erfolgreiche Überweisung datiert auf 01.04.2026.)</w:t>
      </w:r>
    </w:p>
    <w:p>
      <w:pPr>
        <w:spacing w:line="259" w:lineRule="auto" w:after="60"/>
        <w:jc w:val="left"/>
      </w:pPr>
      <w:r>
        <w:rPr>
          <w:b/>
        </w:rPr>
        <w:t>Anfechtungsgrundlage:</w:t>
      </w:r>
      <w:r>
        <w:t xml:space="preserve"> § 131 Abs. 1 Nr. 1 InsO (inkongruente Deckung). Die Zahlung erfolgte in einer Form, die der Gläubiger nicht zu beanspruchen hatte (Zahlung durch erneute Weisung nach gescheiterter Lastschrift statt ordnungsgemäßer Überweisung, unter Mahndruck). Der Zeitpunkt liegt innerhalb der 3-Monats-Frist.</w:t>
      </w:r>
    </w:p>
    <w:p>
      <w:pPr>
        <w:spacing w:line="259" w:lineRule="auto" w:after="60"/>
        <w:jc w:val="left"/>
      </w:pPr>
      <w:r>
        <w:rPr>
          <w:b/>
        </w:rPr>
        <w:t>Benachteiligungswirkung:</w:t>
      </w:r>
      <w:r>
        <w:t xml:space="preserve"> Durch die Zahlung verminderte sich die Insolvenzmasse um 18.000,00 EUR. Die übrigen Gläubiger wurden entsprechend benachteiligt (§ 129 InsO).</w:t>
      </w:r>
    </w:p>
    <w:p>
      <w:pPr>
        <w:spacing w:line="259" w:lineRule="auto" w:after="60"/>
        <w:jc w:val="left"/>
      </w:pPr>
      <w:r>
        <w:rPr>
          <w:b/>
        </w:rPr>
        <w:t>Kenntnis des Gläubigers:</w:t>
      </w:r>
      <w:r>
        <w:t xml:space="preserve"> Die Rücklastschrift vom 22.03.2026 ist ein starkes Indiz dafür, dass die Furnier Nord GmbH die Zahlungsschwierigkeiten der Schuldnerin kannte (§ 131 Abs. 2 InsO). Kenntniszurechnung daher wahrscheinlich.</w:t>
      </w:r>
    </w:p>
    <w:p>
      <w:pPr>
        <w:spacing w:line="259" w:lineRule="auto" w:after="60"/>
        <w:jc w:val="left"/>
      </w:pPr>
      <w:r>
        <w:rPr>
          <w:b/>
        </w:rPr>
        <w:t>Rechtsdurchsetzung:</w:t>
      </w:r>
      <w:r>
        <w:t xml:space="preserve"> Außergerichtliches Anfechtungsschreiben mit Rückzahlungsforderung geplant (→ DOCX). Klage beim Amtsgericht Stendal (&lt; 5.000 EUR Streitwert = AG) bzw. Landgericht Stendal bei Streitwert &gt; 5.000 EUR.</w:t>
      </w:r>
    </w:p>
    <w:p>
      <w:pPr>
        <w:spacing w:line="259" w:lineRule="auto" w:after="60"/>
      </w:pPr>
    </w:p>
    <w:p>
      <w:pPr>
        <w:pStyle w:val="Heading3"/>
        <w:spacing w:line="259" w:lineRule="auto" w:after="60"/>
      </w:pPr>
      <w:r>
        <w:rPr>
          <w:rFonts w:ascii="Times New Roman" w:hAnsi="Times New Roman"/>
        </w:rPr>
        <w:t>A-2: Havelbank eG – 35.000 EUR vom 02.04.2026</w:t>
      </w:r>
    </w:p>
    <w:p>
      <w:pPr>
        <w:spacing w:line="259" w:lineRule="auto" w:after="60"/>
        <w:jc w:val="left"/>
      </w:pPr>
      <w:r>
        <w:rPr>
          <w:b/>
        </w:rPr>
        <w:t>Sachverhalt:</w:t>
      </w:r>
      <w:r>
        <w:t xml:space="preserve"> Mit Schreiben vom 28.04.2026 bestätigte die Havelbank eG, dass sie die Sondertilgung nach einer "dringenden Besprechung" am 01.04.2026 mit dem Geschäftsführer und einer schriftlichen Androhung der sofortigen Kontosperrung erwirkt hat. Der Darlehensvertrag sieht keine Sondertilgungspflicht vor; die Bank hatte keinen fälligen Rückzahlungsanspruch.</w:t>
      </w:r>
    </w:p>
    <w:p>
      <w:pPr>
        <w:spacing w:line="259" w:lineRule="auto" w:after="60"/>
        <w:jc w:val="left"/>
      </w:pPr>
      <w:r>
        <w:rPr>
          <w:b/>
        </w:rPr>
        <w:t>Anfechtungsgrundlage:</w:t>
      </w:r>
      <w:r>
        <w:t xml:space="preserve"> § 131 Abs. 1 Nr. 1 InsO (inkongruente Deckung). Zudem kommt § 130 Abs. 1 Nr. 1 InsO in Betracht, wenn die Bank Kenntnis der Zahlungsunfähigkeit hatte (was aufgrund der laufenden Gespräche naheliegt).</w:t>
      </w:r>
    </w:p>
    <w:p>
      <w:pPr>
        <w:spacing w:line="259" w:lineRule="auto" w:after="60"/>
        <w:jc w:val="left"/>
      </w:pPr>
      <w:r>
        <w:rPr>
          <w:b/>
        </w:rPr>
        <w:t>Absonderungsrecht:</w:t>
      </w:r>
      <w:r>
        <w:t xml:space="preserve"> Soweit die Havelbank behauptet, durch die Zahlung habe sie nur auf bereits besicherte Forderungen geleistet, ist zu prüfen, ob die Sicherungsübereignung die konkrete Darlehensvaluta umfasst. Selbst wenn ein Absonderungsrecht besteht, mindert die Sondertilgung den Masseausfall bei den ungesicherten Gläubigern.</w:t>
      </w:r>
    </w:p>
    <w:p>
      <w:pPr>
        <w:spacing w:line="259" w:lineRule="auto" w:after="60"/>
        <w:jc w:val="left"/>
      </w:pPr>
      <w:r>
        <w:rPr>
          <w:b/>
        </w:rPr>
        <w:t>Rückzahlungsanspruch:</w:t>
      </w:r>
      <w:r>
        <w:t xml:space="preserve"> 35.000,00 EUR zzgl. Zinsen seit 02.04.2026 (§ 143 Abs. 1 InsO i.V.m. § 819 BGB).</w:t>
      </w:r>
    </w:p>
    <w:p>
      <w:pPr>
        <w:spacing w:line="259" w:lineRule="auto" w:after="60"/>
      </w:pPr>
    </w:p>
    <w:p>
      <w:pPr>
        <w:pStyle w:val="Heading3"/>
        <w:spacing w:line="259" w:lineRule="auto" w:after="60"/>
      </w:pPr>
      <w:r>
        <w:rPr>
          <w:rFonts w:ascii="Times New Roman" w:hAnsi="Times New Roman"/>
        </w:rPr>
        <w:t>A-3: Tim Brauer – 12.500 EUR vom 11.04.2026</w:t>
      </w:r>
    </w:p>
    <w:p>
      <w:pPr>
        <w:spacing w:line="259" w:lineRule="auto" w:after="60"/>
        <w:jc w:val="left"/>
      </w:pPr>
      <w:r>
        <w:rPr>
          <w:b/>
        </w:rPr>
        <w:t>Sachverhalt:</w:t>
      </w:r>
      <w:r>
        <w:t xml:space="preserve"> Gesellschafter-Geschäftsführer Tim Brauer ließ sich am 11.04.2026 einen Teil seines eigenfinanzierten Gesellschafterdarlehens zurückzahlen. Das Darlehen war als Eigenkapitalersatz zu werten. Die Auszahlung erfolgte, als die Gesellschaft erkennbar in der Krise war.</w:t>
      </w:r>
    </w:p>
    <w:p>
      <w:pPr>
        <w:spacing w:line="259" w:lineRule="auto" w:after="60"/>
        <w:jc w:val="left"/>
      </w:pPr>
      <w:r>
        <w:rPr>
          <w:b/>
        </w:rPr>
        <w:t>Anfechtungsgrundlage:</w:t>
      </w:r>
      <w:r>
        <w:t xml:space="preserve"> § 135 Abs. 1 Nr. 2 InsO. Gesellschafterdarlehen, die innerhalb eines Jahres vor Antragstellung zurückgezahlt werden, sind anfechtbar, ohne dass es auf die Kenntnis des Empfängers ankommt.</w:t>
      </w:r>
    </w:p>
    <w:p>
      <w:pPr>
        <w:spacing w:line="259" w:lineRule="auto" w:after="60"/>
        <w:jc w:val="left"/>
      </w:pPr>
      <w:r>
        <w:rPr>
          <w:b/>
        </w:rPr>
        <w:t>Besonderheit:</w:t>
      </w:r>
      <w:r>
        <w:t xml:space="preserve"> Tim Brauer ist Geschäftsführer und Gesellschafter; er kann sich nicht auf Unkenntnis berufen. Die Anfechtung ist daher praktisch risikolos durchzusetzen.</w:t>
      </w:r>
    </w:p>
    <w:p>
      <w:pPr>
        <w:spacing w:line="259" w:lineRule="auto" w:after="60"/>
        <w:jc w:val="left"/>
      </w:pPr>
      <w:r>
        <w:rPr>
          <w:b/>
        </w:rPr>
        <w:t>Rückzahlungsanspruch:</w:t>
      </w:r>
      <w:r>
        <w:t xml:space="preserve"> 12.500,00 EUR (+ Prozesszinsen).</w:t>
      </w:r>
    </w:p>
    <w:p>
      <w:pPr>
        <w:spacing w:line="259" w:lineRule="auto" w:after="60"/>
      </w:pPr>
    </w:p>
    <w:p>
      <w:pPr>
        <w:pStyle w:val="Heading3"/>
        <w:spacing w:line="259" w:lineRule="auto" w:after="60"/>
      </w:pPr>
      <w:r>
        <w:rPr>
          <w:rFonts w:ascii="Times New Roman" w:hAnsi="Times New Roman"/>
        </w:rPr>
        <w:t>A-4: Brauer Holding UG – 9.500 EUR vom 29.04.2026</w:t>
      </w:r>
    </w:p>
    <w:p>
      <w:pPr>
        <w:spacing w:line="259" w:lineRule="auto" w:after="60"/>
        <w:jc w:val="left"/>
      </w:pPr>
      <w:r>
        <w:rPr>
          <w:b/>
        </w:rPr>
        <w:t>Sachverhalt:</w:t>
      </w:r>
      <w:r>
        <w:t xml:space="preserve"> Die Brauer Holding UG ist zu 100 % Eigentum von Tim Brauer. Der Zahlungsgrund "Managementfee" ist weder durch einen Management-Service-Agreement belegt noch wirtschaftlich nachvollziehbar. Die Zahlung erfolgte 5 Tage vor Insolvenzantragstellung.</w:t>
      </w:r>
    </w:p>
    <w:p>
      <w:pPr>
        <w:spacing w:line="259" w:lineRule="auto" w:after="60"/>
        <w:jc w:val="left"/>
      </w:pPr>
      <w:r>
        <w:rPr>
          <w:b/>
        </w:rPr>
        <w:t>Anfechtungsgrundlage:</w:t>
      </w:r>
      <w:r>
        <w:t xml:space="preserve"> § 133 Abs. 1 InsO i.V.m. § 138 InsO (nahestehende Person). Bei nahestehenden Personen wird die Kenntnis des Vorsatzes vermutet (§ 133 Abs. 2 InsO). Da kein vertraglicher Grund ersichtlich ist, kommt auch § 134 InsO (unentgeltliche Leistung) in Betracht.</w:t>
      </w:r>
    </w:p>
    <w:p>
      <w:pPr>
        <w:spacing w:line="259" w:lineRule="auto" w:after="60"/>
        <w:jc w:val="left"/>
      </w:pPr>
      <w:r>
        <w:rPr>
          <w:b/>
        </w:rPr>
        <w:t>Frist:</w:t>
      </w:r>
      <w:r>
        <w:t xml:space="preserve"> § 134 InsO: 4 Jahre; § 133 Abs. 1 InsO: 10 Jahre. Zahlung fällt in beide Fristen.</w:t>
      </w:r>
    </w:p>
    <w:p>
      <w:pPr>
        <w:spacing w:line="259" w:lineRule="auto" w:after="60"/>
      </w:pPr>
    </w:p>
    <w:p>
      <w:pPr>
        <w:pStyle w:val="Heading2"/>
        <w:spacing w:line="259" w:lineRule="auto" w:after="60"/>
      </w:pPr>
      <w:r>
        <w:rPr>
          <w:rFonts w:ascii="Times New Roman" w:hAnsi="Times New Roman"/>
        </w:rPr>
        <w:t>Zeitplan Anfechtungsdurchsetzung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Frist</w:t>
            </w:r>
          </w:p>
        </w:tc>
        <w:tc>
          <w:tcPr>
            <w:tcW w:type="dxa" w:w="3024"/>
          </w:tcPr>
          <w:p>
            <w:r>
              <w:rPr>
                <w:rFonts w:ascii="Times New Roman" w:hAnsi="Times New Roman"/>
                <w:b/>
                <w:sz w:val="20"/>
              </w:rPr>
              <w:t>Zuständig</w:t>
            </w:r>
          </w:p>
        </w:tc>
      </w:tr>
      <w:tr>
        <w:tc>
          <w:tcPr>
            <w:tcW w:type="dxa" w:w="3024"/>
          </w:tcPr>
          <w:p>
            <w:r>
              <w:rPr>
                <w:rFonts w:ascii="Times New Roman" w:hAnsi="Times New Roman"/>
                <w:sz w:val="20"/>
              </w:rPr>
              <w:t>Außergerichtliche Anfechtungsschreiben (A-1 bis A-4)</w:t>
            </w:r>
          </w:p>
        </w:tc>
        <w:tc>
          <w:tcPr>
            <w:tcW w:type="dxa" w:w="3024"/>
          </w:tcPr>
          <w:p>
            <w:r>
              <w:rPr>
                <w:rFonts w:ascii="Times New Roman" w:hAnsi="Times New Roman"/>
                <w:sz w:val="20"/>
              </w:rPr>
              <w:t>30.08.2026</w:t>
            </w:r>
          </w:p>
        </w:tc>
        <w:tc>
          <w:tcPr>
            <w:tcW w:type="dxa" w:w="3024"/>
          </w:tcPr>
          <w:p>
            <w:r>
              <w:rPr>
                <w:rFonts w:ascii="Times New Roman" w:hAnsi="Times New Roman"/>
                <w:sz w:val="20"/>
              </w:rPr>
              <w:t>Dr. Westphal / Korrespondenz</w:t>
            </w:r>
          </w:p>
        </w:tc>
      </w:tr>
      <w:tr>
        <w:tc>
          <w:tcPr>
            <w:tcW w:type="dxa" w:w="3024"/>
          </w:tcPr>
          <w:p>
            <w:r>
              <w:rPr>
                <w:rFonts w:ascii="Times New Roman" w:hAnsi="Times New Roman"/>
                <w:sz w:val="20"/>
              </w:rPr>
              <w:t>Eingang Antworten / Rückzahlungsangebote</w:t>
            </w:r>
          </w:p>
        </w:tc>
        <w:tc>
          <w:tcPr>
            <w:tcW w:type="dxa" w:w="3024"/>
          </w:tcPr>
          <w:p>
            <w:r>
              <w:rPr>
                <w:rFonts w:ascii="Times New Roman" w:hAnsi="Times New Roman"/>
                <w:sz w:val="20"/>
              </w:rPr>
              <w:t>15.09.2026</w:t>
            </w:r>
          </w:p>
        </w:tc>
        <w:tc>
          <w:tcPr>
            <w:tcW w:type="dxa" w:w="3024"/>
          </w:tcPr>
          <w:p>
            <w:r>
              <w:rPr>
                <w:rFonts w:ascii="Times New Roman" w:hAnsi="Times New Roman"/>
                <w:sz w:val="20"/>
              </w:rPr>
              <w:t>Dr. Westphal</w:t>
            </w:r>
          </w:p>
        </w:tc>
      </w:tr>
      <w:tr>
        <w:tc>
          <w:tcPr>
            <w:tcW w:type="dxa" w:w="3024"/>
          </w:tcPr>
          <w:p>
            <w:r>
              <w:rPr>
                <w:rFonts w:ascii="Times New Roman" w:hAnsi="Times New Roman"/>
                <w:sz w:val="20"/>
              </w:rPr>
              <w:t>Entscheidung über Klageschriften</w:t>
            </w:r>
          </w:p>
        </w:tc>
        <w:tc>
          <w:tcPr>
            <w:tcW w:type="dxa" w:w="3024"/>
          </w:tcPr>
          <w:p>
            <w:r>
              <w:rPr>
                <w:rFonts w:ascii="Times New Roman" w:hAnsi="Times New Roman"/>
                <w:sz w:val="20"/>
              </w:rPr>
              <w:t>30.09.2026</w:t>
            </w:r>
          </w:p>
        </w:tc>
        <w:tc>
          <w:tcPr>
            <w:tcW w:type="dxa" w:w="3024"/>
          </w:tcPr>
          <w:p>
            <w:r>
              <w:rPr>
                <w:rFonts w:ascii="Times New Roman" w:hAnsi="Times New Roman"/>
                <w:sz w:val="20"/>
              </w:rPr>
              <w:t>Dr. Westphal</w:t>
            </w:r>
          </w:p>
        </w:tc>
      </w:tr>
      <w:tr>
        <w:tc>
          <w:tcPr>
            <w:tcW w:type="dxa" w:w="3024"/>
          </w:tcPr>
          <w:p>
            <w:r>
              <w:rPr>
                <w:rFonts w:ascii="Times New Roman" w:hAnsi="Times New Roman"/>
                <w:sz w:val="20"/>
              </w:rPr>
              <w:t>Klageeinreichung bei Gericht (soweit nötig)</w:t>
            </w:r>
          </w:p>
        </w:tc>
        <w:tc>
          <w:tcPr>
            <w:tcW w:type="dxa" w:w="3024"/>
          </w:tcPr>
          <w:p>
            <w:r>
              <w:rPr>
                <w:rFonts w:ascii="Times New Roman" w:hAnsi="Times New Roman"/>
                <w:sz w:val="20"/>
              </w:rPr>
              <w:t>15.10.2026</w:t>
            </w:r>
          </w:p>
        </w:tc>
        <w:tc>
          <w:tcPr>
            <w:tcW w:type="dxa" w:w="3024"/>
          </w:tcPr>
          <w:p>
            <w:r>
              <w:rPr>
                <w:rFonts w:ascii="Times New Roman" w:hAnsi="Times New Roman"/>
                <w:sz w:val="20"/>
              </w:rPr>
              <w:t>Prozessmandat</w:t>
            </w:r>
          </w:p>
        </w:tc>
      </w:tr>
    </w:tbl>
    <w:p>
      <w:pPr>
        <w:spacing w:line="259" w:lineRule="auto" w:after="60"/>
      </w:pPr>
    </w:p>
    <w:p>
      <w:pPr>
        <w:spacing w:line="259" w:lineRule="auto" w:after="60"/>
        <w:jc w:val="left"/>
      </w:pPr>
      <w:r>
        <w:rPr>
          <w:i/>
        </w:rPr>
        <w:t>Dr. Nora Westphal, Insolvenzverwalterin, Magdeburg, 20.07.2026</w:t>
      </w:r>
    </w:p>
    <w:p>
      <w:pPr>
        <w:spacing w:line="259" w:lineRule="auto" w:after="60"/>
        <w:jc w:val="left"/>
      </w:pPr>
      <w:r>
        <w:rPr>
          <w:i/>
        </w:rPr>
        <w:t>Anlagen: Kontoauszüge Januar–Mai 2026 (Anlage 10a), Schuldnerfragebogen (Anlage 3), Ratenplan 15.03.2026 (Anlage 10b)</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