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Masseverzeichnis und Verwertungsplan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Amtsgericht Stendal, Az. 7 IN 41/26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Möbelwerk Havelberg GmbH – Insolvenzverfahren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Insolvenzverwalterin: Dr. Nora Westphal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Stichtag: 30.06.2026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A. Massebestandsübersicht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A.1 Freie Masse (ohne Absonderungsrechte Dritter)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Schätzwert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Bankguthaben (beide Konten, nach Fortführung)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31.200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davon Havelbank 21.400, Ostmark 9.800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Barkasse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480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gezählt 21.05.2026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Kundenforderungen (nicht globalzediert)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18.400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Klinikverbund-Restforderung, neu nach Eröffnung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Lackierkabine Rippert L80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44.000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geschätzter Erlös, frei verwertbar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Plattenaufteilsäge Altendorf F45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11.500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Breitbandschleifmaschine Böhler BSM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Schleifmaschine Böhler / Werkzeug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3.500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Büroausstattung / 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11.500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Kautionserstattung Halle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erwartet von Vermieter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D&amp;O-Anspruch (§ 15b InsO)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115.000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Vergleich mit D&amp;O-Versicherer angebahnt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Anfechtungsansprüche (geschätzt realisierbar)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41.000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(A-1 bis A-4, konservativ)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 freie Masse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295.580</w:t>
            </w:r>
          </w:p>
        </w:tc>
        <w:tc>
          <w:tcPr>
            <w:tcW w:type="dxa" w:w="3024"/>
          </w:tcPr>
          <w:p/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A.2 Masse mit Absonderungsrechten (§§ 50, 51 InsO)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Erlös geschätzt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Absonderungsberechtigter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Sicherheitenwert Havelbank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Masseanteil (§ 170 InsO, 4 %) (EUR)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CNC-Fräse Homag BMG 612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135.000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Havelbank eG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135.000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5.400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Kantenanleimmaschine Holzher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Havelbank eG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960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Gabelstapler Still RX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12.500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Havelbank eG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12.500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Globalzedierte Forderungen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172.000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Havelbank eG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172.000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6.880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Summe Absonderungsgut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343.500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13.740</w:t>
            </w:r>
          </w:p>
        </w:tc>
      </w:tr>
    </w:tbl>
    <w:p>
      <w:pPr>
        <w:spacing w:line="259" w:lineRule="auto" w:after="60"/>
        <w:jc w:val="left"/>
      </w:pPr>
      <w:r>
        <w:t>Kostenanteil der Masse (§ 171 InsO, 4 % Feststellungskosten): weitere 13.740 EUR.</w:t>
      </w:r>
    </w:p>
    <w:p>
      <w:pPr>
        <w:spacing w:line="259" w:lineRule="auto" w:after="60"/>
        <w:jc w:val="left"/>
      </w:pPr>
      <w:r>
        <w:rPr>
          <w:b/>
        </w:rPr>
        <w:t>Masseanteil aus Absonderungsverwertung gesamt (§ 170 f. InsO): 27.480 EUR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B. Verwertungsplan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B.1 Maschinenblock – Einzelverwertung vs. Paketverkauf</w:t>
      </w:r>
    </w:p>
    <w:p>
      <w:pPr>
        <w:spacing w:line="259" w:lineRule="auto" w:after="60"/>
        <w:jc w:val="left"/>
      </w:pPr>
      <w:r>
        <w:t>Der Gläubigerausschuss hat in seiner Sitzung vom 18.06.2026 um einen Vergleich zwischen Einzelverwertung und Paketverkauf gebeten.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Option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Maschinen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Warenlager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Gesamterlös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Zeitaufwand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Empfehlung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Einzelverwertung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Ja, via Maschinenhändler EML GmbH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Nein (EV-Klärung nötig)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247.500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8–12 Wochen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Bevorzugt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Paketverkauf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Ja, inkl. Lackierkabine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Ja, wenn EVs geklärt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198.000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 Wochen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Fallback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Online-Auktion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Nur Kleinmaschinen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 Wochen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Ergänzung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Entscheidung:</w:t>
      </w:r>
      <w:r>
        <w:t xml:space="preserve"> Einzelverwertung über Maschinenhändler EML GmbH (Angebot liegt vor, Mindestgebot 230.000 EUR) kombiniert mit Online-Auktion für Büro/IT und Kleinmaschinen.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B.2 Eigentumsvorbehaltsklärung (Warenlager)</w:t>
      </w:r>
    </w:p>
    <w:p>
      <w:pPr>
        <w:pStyle w:val="ListBullet"/>
        <w:spacing w:line="259" w:lineRule="auto" w:after="60"/>
      </w:pPr>
      <w:r>
        <w:t>Prignitz Forst KG behauptet verlängerten Eigentumsvorbehalt (EVB) an Holzwerkstoffen (Buchwert ca. 87.000 EUR).</w:t>
      </w:r>
    </w:p>
    <w:p>
      <w:pPr>
        <w:pStyle w:val="ListBullet"/>
        <w:spacing w:line="259" w:lineRule="auto" w:after="60"/>
      </w:pPr>
      <w:r>
        <w:t>EVB-Vertrag datiert auf 08.09.2023; in AGB der Prignitz Forst KG unter Ziffer 6 enthalten.</w:t>
      </w:r>
    </w:p>
    <w:p>
      <w:pPr>
        <w:pStyle w:val="ListBullet"/>
        <w:spacing w:line="259" w:lineRule="auto" w:after="60"/>
      </w:pPr>
      <w:r>
        <w:t>Wirksame Einbeziehung der AGB in Lieferverträge wird derzeit geprüft.</w:t>
      </w:r>
    </w:p>
    <w:p>
      <w:pPr>
        <w:pStyle w:val="ListBullet"/>
        <w:spacing w:line="259" w:lineRule="auto" w:after="60"/>
      </w:pPr>
      <w:r>
        <w:t>Vergleichsgespräch läuft: IV schlägt Ablösesumme 38.000 EUR vor (Basis: 44 % der behaupteten Warenwerte). Prignitz Forst KG hat noch nicht geantwortet.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B.3 Kundenforderungen (Globalzession Havelbank)</w:t>
      </w:r>
    </w:p>
    <w:p>
      <w:pPr>
        <w:pStyle w:val="ListBullet"/>
        <w:spacing w:line="259" w:lineRule="auto" w:after="60"/>
      </w:pPr>
      <w:r>
        <w:t>Havelbank eG hat Einzugsermächtigung geltend gemacht.</w:t>
      </w:r>
    </w:p>
    <w:p>
      <w:pPr>
        <w:pStyle w:val="ListBullet"/>
        <w:spacing w:line="259" w:lineRule="auto" w:after="60"/>
      </w:pPr>
      <w:r>
        <w:t>IV prüft Kollision mit verlängertem EV Prignitz Forst KG (§ 51 Abs. 1 Nr. 1 InsO vs. verlängerter EV).</w:t>
      </w:r>
    </w:p>
    <w:p>
      <w:pPr>
        <w:pStyle w:val="ListBullet"/>
        <w:spacing w:line="259" w:lineRule="auto" w:after="60"/>
      </w:pPr>
      <w:r>
        <w:t>Einzug erfolgt durch IV im Auftrag der Havelbank gegen 4 % Verwertungsprovision.</w:t>
      </w:r>
    </w:p>
    <w:p>
      <w:pPr>
        <w:pStyle w:val="ListBullet"/>
        <w:spacing w:line="259" w:lineRule="auto" w:after="60"/>
      </w:pPr>
      <w:r>
        <w:t>Debitor Klinikverbund Prignitz: 34.300 EUR eingegangen am 15.06.2026 (nach Verfahrenseröffnung; Masseverbindlichkeit).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C. D&amp;O-Police und § 15b InsO Ansprüche</w:t>
      </w:r>
    </w:p>
    <w:p>
      <w:pPr>
        <w:spacing w:line="259" w:lineRule="auto" w:after="60"/>
        <w:jc w:val="left"/>
      </w:pPr>
      <w:r>
        <w:t>Die Gesellschaft hält eine D&amp;O-Police (Directors &amp; Officers Liability) bei der Continentale Assekuranz AG, Deckungssumme 2.000.000 EUR, Claims-made-Basis (Meldefrist bis 30.06.2027).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Anspruchsgrundlage</w:t>
      </w:r>
    </w:p>
    <w:p>
      <w:pPr>
        <w:spacing w:line="259" w:lineRule="auto" w:after="60"/>
        <w:jc w:val="left"/>
      </w:pPr>
      <w:r>
        <w:t>Nach Auswertung der § 15b InsO Zahlungsanalyse (→ Datei 11) wurden Zahlungen nach Eintritt der Insolvenzreife (spätestens ab 22.03.2026 – Rücklastschrift) ermittelt. Folgende Zahlungen gelten als anspruchsbegründend: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Empfänger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Ausnahme (§ 15b Abs. 2)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Furnier Nord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fraglich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Brauer Holding UG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9.500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Tim Brauer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12.500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(Gesellschafter)</w:t>
            </w:r>
          </w:p>
        </w:tc>
      </w:tr>
    </w:tbl>
    <w:p>
      <w:pPr>
        <w:spacing w:line="259" w:lineRule="auto" w:after="60"/>
        <w:jc w:val="left"/>
      </w:pPr>
      <w:r>
        <w:t xml:space="preserve">Gesamtanspruch vorläufig: </w:t>
      </w:r>
      <w:r>
        <w:rPr>
          <w:b/>
        </w:rPr>
        <w:t>34.000 EUR</w:t>
      </w:r>
      <w:r>
        <w:t xml:space="preserve"> (ggf. höher nach finaler Insolvenzreifefeststellung).</w:t>
      </w:r>
    </w:p>
    <w:p>
      <w:pPr>
        <w:spacing w:line="259" w:lineRule="auto" w:after="60"/>
        <w:jc w:val="left"/>
      </w:pPr>
      <w:r>
        <w:t>Die D&amp;O-Versicherung hat Deckungsanfrage der IV bestätigt und Vergleichsgespräch eröffnet. Vergleichsangebot 115.000 EUR (umfasst § 15b-Ansprüche + allgemeine Geschäftsführerhaftung aus 2024/2025) liegt vor. Gläubigerausschuss wurde informiert.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D. Gesamtmasse (Prognose Stand 30.06.2026)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Freie Masse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295.580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Masseanteil Absonderungsverwertung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27.480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D&amp;O-Vergleich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115.000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Anfechtungserlöse (geschätzt)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41.000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Prognostizierte Gesamtmasse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479.060</w:t>
            </w:r>
          </w:p>
        </w:tc>
      </w:tr>
    </w:tbl>
    <w:p>
      <w:pPr>
        <w:spacing w:line="259" w:lineRule="auto" w:after="60"/>
        <w:jc w:val="left"/>
      </w:pPr>
      <w:r>
        <w:t>Verfahrenskosten und IV-Vergütung (§§ 54, 63 ff. InsO): geschätzt ca. 95.000 EUR.</w:t>
      </w:r>
    </w:p>
    <w:p>
      <w:pPr>
        <w:spacing w:line="259" w:lineRule="auto" w:after="60"/>
        <w:jc w:val="left"/>
      </w:pPr>
      <w:r>
        <w:rPr>
          <w:b/>
        </w:rPr>
        <w:t>Verbleibende Verteilungsmasse:</w:t>
      </w:r>
      <w:r>
        <w:t xml:space="preserve"> ca. </w:t>
      </w:r>
      <w:r>
        <w:rPr>
          <w:b/>
        </w:rPr>
        <w:t>384.060 EUR</w:t>
      </w:r>
    </w:p>
    <w:p>
      <w:pPr>
        <w:spacing w:line="259" w:lineRule="auto" w:after="60"/>
        <w:jc w:val="left"/>
      </w:pPr>
      <w:r>
        <w:t xml:space="preserve">Festgestellte ungesicherte Forderungen (§ 38 InsO): ca. </w:t>
      </w:r>
      <w:r>
        <w:rPr>
          <w:b/>
        </w:rPr>
        <w:t>870.460 EUR</w:t>
      </w:r>
      <w:r>
        <w:t xml:space="preserve"> (ohne Havelbank-Ausfall von ca. 136.500 EUR)</w:t>
      </w:r>
    </w:p>
    <w:p>
      <w:pPr>
        <w:spacing w:line="259" w:lineRule="auto" w:after="60"/>
        <w:jc w:val="left"/>
      </w:pPr>
      <w:r>
        <w:rPr>
          <w:b/>
        </w:rPr>
        <w:t>Voraussichtliche Quote: ca. 18–20 %</w:t>
      </w:r>
      <w:r>
        <w:t xml:space="preserve"> (vorbehaltlich Anfechtungserlösen und Sicherheitenwertklärung).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Dr. Nora Westphal, Insolvenzverwalterin, Magdeburg, 30.06.2026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