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Masseunzulänglichkeit – Entwurf und Prüfung § 208 InsO</w:t>
      </w:r>
    </w:p>
    <w:p>
      <w:pPr>
        <w:spacing w:before="120" w:after="60" w:line="259" w:lineRule="auto"/>
        <w:ind w:left="567"/>
      </w:pPr>
      <w:r>
        <w:rPr>
          <w:rFonts w:ascii="Times New Roman" w:hAnsi="Times New Roman"/>
          <w:b/>
          <w:i/>
          <w:sz w:val="22"/>
        </w:rPr>
        <w:t>Amtsgericht Stendal, Az. 7 IN 41/26</w:t>
      </w:r>
    </w:p>
    <w:p>
      <w:pPr>
        <w:spacing w:before="120" w:after="60" w:line="259" w:lineRule="auto"/>
        <w:ind w:left="567"/>
      </w:pPr>
      <w:r>
        <w:rPr>
          <w:rFonts w:ascii="Times New Roman" w:hAnsi="Times New Roman"/>
          <w:b/>
          <w:i/>
          <w:sz w:val="22"/>
        </w:rPr>
        <w:t>Möbelwerk Havelberg GmbH – Insolvenzverfahren</w:t>
      </w:r>
    </w:p>
    <w:p>
      <w:pPr>
        <w:spacing w:before="120" w:after="60" w:line="259" w:lineRule="auto"/>
        <w:ind w:left="567"/>
      </w:pPr>
      <w:r>
        <w:rPr>
          <w:rFonts w:ascii="Times New Roman" w:hAnsi="Times New Roman"/>
          <w:b/>
          <w:i/>
          <w:sz w:val="22"/>
        </w:rPr>
        <w:t>Insolvenzverwalterin: Dr. Nora Westphal</w:t>
      </w:r>
    </w:p>
    <w:p>
      <w:pPr>
        <w:spacing w:before="120" w:after="60" w:line="259" w:lineRule="auto"/>
        <w:ind w:left="567"/>
      </w:pPr>
      <w:r>
        <w:rPr>
          <w:rFonts w:ascii="Times New Roman" w:hAnsi="Times New Roman"/>
          <w:b/>
          <w:i/>
          <w:sz w:val="22"/>
        </w:rPr>
        <w:t>Arbeitspapier, erstellt: 30.06.2026 (Szenario-Analyse)</w:t>
      </w:r>
    </w:p>
    <w:p>
      <w:pPr>
        <w:spacing w:line="259" w:lineRule="auto" w:after="60"/>
      </w:pPr>
    </w:p>
    <w:p>
      <w:pPr>
        <w:pStyle w:val="Heading2"/>
        <w:spacing w:before="120" w:after="60" w:line="259" w:lineRule="auto"/>
      </w:pPr>
      <w:r>
        <w:rPr>
          <w:rFonts w:ascii="Times New Roman" w:hAnsi="Times New Roman"/>
          <w:b/>
          <w:sz w:val="22"/>
        </w:rPr>
        <w:t>A. Ausgangslage und Anlass</w:t>
      </w:r>
    </w:p>
    <w:p>
      <w:pPr>
        <w:spacing w:line="259" w:lineRule="auto" w:after="60"/>
        <w:jc w:val="left"/>
      </w:pPr>
      <w:r>
        <w:t xml:space="preserve">Nach dem Ende der Betriebsfortführung (21.05.2026) und den ersten Verwertungsschritten zeigt eine vorläufige Massegegenüberstellung zum 30.06.2026, dass die </w:t>
      </w:r>
      <w:r>
        <w:rPr>
          <w:b/>
        </w:rPr>
        <w:t>sonstigen Masseverbindlichkeiten</w:t>
      </w:r>
      <w:r>
        <w:t xml:space="preserve"> (§ 55 Abs. 1 InsO) die verfügbare Liquidität erheblich übersteigen. Die Insolvenzverwalterin prüft daher, ob die Voraussetzungen für eine </w:t>
      </w:r>
      <w:r>
        <w:rPr>
          <w:b/>
        </w:rPr>
        <w:t>Anzeige der Masseunzulänglichkeit</w:t>
      </w:r>
      <w:r>
        <w:t xml:space="preserve"> nach § 208 InsO vorliegen.</w:t>
      </w:r>
    </w:p>
    <w:p>
      <w:pPr>
        <w:spacing w:line="259" w:lineRule="auto" w:after="60"/>
      </w:pPr>
    </w:p>
    <w:p>
      <w:pPr>
        <w:pStyle w:val="Heading2"/>
        <w:spacing w:line="259" w:lineRule="auto" w:after="60"/>
      </w:pPr>
      <w:r>
        <w:rPr>
          <w:rFonts w:ascii="Times New Roman" w:hAnsi="Times New Roman"/>
        </w:rPr>
        <w:t>B. Massebestand und fällige Masseverbindlichkeiten (30.06.2026)</w:t>
      </w:r>
    </w:p>
    <w:p>
      <w:pPr>
        <w:pStyle w:val="Heading3"/>
        <w:spacing w:line="259" w:lineRule="auto" w:after="60"/>
      </w:pPr>
      <w:r>
        <w:rPr>
          <w:rFonts w:ascii="Times New Roman" w:hAnsi="Times New Roman"/>
        </w:rPr>
        <w:t>B.1 Verfügbare Masse (Liquidität)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 (EUR)</w:t>
            </w:r>
          </w:p>
        </w:tc>
      </w:tr>
      <w:tr>
        <w:tc>
          <w:tcPr>
            <w:tcW w:type="dxa" w:w="4536"/>
          </w:tcPr>
          <w:p>
            <w:r>
              <w:rPr>
                <w:rFonts w:ascii="Times New Roman" w:hAnsi="Times New Roman"/>
                <w:sz w:val="20"/>
              </w:rPr>
              <w:t>Bankguthaben (nach Fortführungskosten)</w:t>
            </w:r>
          </w:p>
        </w:tc>
        <w:tc>
          <w:tcPr>
            <w:tcW w:type="dxa" w:w="4536"/>
          </w:tcPr>
          <w:p>
            <w:r>
              <w:rPr>
                <w:rFonts w:ascii="Times New Roman" w:hAnsi="Times New Roman"/>
                <w:sz w:val="20"/>
              </w:rPr>
              <w:t>31.200</w:t>
            </w:r>
          </w:p>
        </w:tc>
      </w:tr>
      <w:tr>
        <w:tc>
          <w:tcPr>
            <w:tcW w:type="dxa" w:w="4536"/>
          </w:tcPr>
          <w:p>
            <w:r>
              <w:rPr>
                <w:rFonts w:ascii="Times New Roman" w:hAnsi="Times New Roman"/>
                <w:sz w:val="20"/>
              </w:rPr>
              <w:t>Barkasse</w:t>
            </w:r>
          </w:p>
        </w:tc>
        <w:tc>
          <w:tcPr>
            <w:tcW w:type="dxa" w:w="4536"/>
          </w:tcPr>
          <w:p>
            <w:r>
              <w:rPr>
                <w:rFonts w:ascii="Times New Roman" w:hAnsi="Times New Roman"/>
                <w:sz w:val="20"/>
              </w:rPr>
              <w:t>480</w:t>
            </w:r>
          </w:p>
        </w:tc>
      </w:tr>
      <w:tr>
        <w:tc>
          <w:tcPr>
            <w:tcW w:type="dxa" w:w="4536"/>
          </w:tcPr>
          <w:p>
            <w:r>
              <w:rPr>
                <w:rFonts w:ascii="Times New Roman" w:hAnsi="Times New Roman"/>
                <w:sz w:val="20"/>
              </w:rPr>
              <w:t>Kunden-Forderungen realisiert</w:t>
            </w:r>
          </w:p>
        </w:tc>
        <w:tc>
          <w:tcPr>
            <w:tcW w:type="dxa" w:w="4536"/>
          </w:tcPr>
          <w:p>
            <w:r>
              <w:rPr>
                <w:rFonts w:ascii="Times New Roman" w:hAnsi="Times New Roman"/>
                <w:sz w:val="20"/>
              </w:rPr>
              <w:t>18.400</w:t>
            </w:r>
          </w:p>
        </w:tc>
      </w:tr>
      <w:tr>
        <w:tc>
          <w:tcPr>
            <w:tcW w:type="dxa" w:w="4536"/>
          </w:tcPr>
          <w:p>
            <w:r>
              <w:rPr>
                <w:rFonts w:ascii="Times New Roman" w:hAnsi="Times New Roman"/>
                <w:sz w:val="20"/>
              </w:rPr>
              <w:t>Kautionsrückzahlung (noch nicht eingegangen)</w:t>
            </w:r>
          </w:p>
        </w:tc>
        <w:tc>
          <w:tcPr>
            <w:tcW w:type="dxa" w:w="4536"/>
          </w:tcPr>
          <w:p>
            <w:r>
              <w:rPr>
                <w:rFonts w:ascii="Times New Roman" w:hAnsi="Times New Roman"/>
                <w:sz w:val="20"/>
              </w:rPr>
              <w:t>12.000</w:t>
            </w:r>
          </w:p>
        </w:tc>
      </w:tr>
      <w:tr>
        <w:tc>
          <w:tcPr>
            <w:tcW w:type="dxa" w:w="4536"/>
          </w:tcPr>
          <w:p>
            <w:r>
              <w:rPr>
                <w:rFonts w:ascii="Times New Roman" w:hAnsi="Times New Roman"/>
                <w:b/>
                <w:sz w:val="20"/>
              </w:rPr>
              <w:t>Verfügbarer Massebestand</w:t>
            </w:r>
          </w:p>
        </w:tc>
        <w:tc>
          <w:tcPr>
            <w:tcW w:type="dxa" w:w="4536"/>
          </w:tcPr>
          <w:p>
            <w:r>
              <w:rPr>
                <w:rFonts w:ascii="Times New Roman" w:hAnsi="Times New Roman"/>
                <w:b/>
                <w:sz w:val="20"/>
              </w:rPr>
              <w:t>62.080</w:t>
            </w:r>
          </w:p>
        </w:tc>
      </w:tr>
    </w:tbl>
    <w:p>
      <w:pPr>
        <w:spacing w:line="259" w:lineRule="auto" w:after="60"/>
        <w:jc w:val="left"/>
      </w:pPr>
      <w:r>
        <w:t xml:space="preserve">Noch nicht realisiert (laufende Verwertung): Maschinenverwertung (erwartet 247.500 EUR), Anfechtungen (41.000 EUR), D&amp;O-Vergleich (115.000 EUR). Diese Einzahlungen werden erst in </w:t>
      </w:r>
      <w:r>
        <w:rPr>
          <w:b/>
        </w:rPr>
        <w:t>Q3/Q4 2026</w:t>
      </w:r>
      <w:r>
        <w:t xml:space="preserve"> erwartet.</w:t>
      </w:r>
    </w:p>
    <w:p>
      <w:pPr>
        <w:pStyle w:val="Heading3"/>
        <w:spacing w:line="259" w:lineRule="auto" w:after="60"/>
      </w:pPr>
      <w:r>
        <w:rPr>
          <w:rFonts w:ascii="Times New Roman" w:hAnsi="Times New Roman"/>
        </w:rPr>
        <w:t>B.2 Fällige sonstige Masseverbindlichkeiten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Gläubiger</w:t>
            </w:r>
          </w:p>
        </w:tc>
        <w:tc>
          <w:tcPr>
            <w:tcW w:type="dxa" w:w="2268"/>
          </w:tcPr>
          <w:p>
            <w:r>
              <w:rPr>
                <w:rFonts w:ascii="Times New Roman" w:hAnsi="Times New Roman"/>
                <w:b/>
                <w:sz w:val="20"/>
              </w:rPr>
              <w:t>Grund</w:t>
            </w:r>
          </w:p>
        </w:tc>
        <w:tc>
          <w:tcPr>
            <w:tcW w:type="dxa" w:w="2268"/>
          </w:tcPr>
          <w:p>
            <w:r>
              <w:rPr>
                <w:rFonts w:ascii="Times New Roman" w:hAnsi="Times New Roman"/>
                <w:b/>
                <w:sz w:val="20"/>
              </w:rPr>
              <w:t>Betrag (EUR)</w:t>
            </w:r>
          </w:p>
        </w:tc>
        <w:tc>
          <w:tcPr>
            <w:tcW w:type="dxa" w:w="2268"/>
          </w:tcPr>
          <w:p>
            <w:r>
              <w:rPr>
                <w:rFonts w:ascii="Times New Roman" w:hAnsi="Times New Roman"/>
                <w:b/>
                <w:sz w:val="20"/>
              </w:rPr>
              <w:t>Fälligkeit</w:t>
            </w:r>
          </w:p>
        </w:tc>
      </w:tr>
      <w:tr>
        <w:tc>
          <w:tcPr>
            <w:tcW w:type="dxa" w:w="2268"/>
          </w:tcPr>
          <w:p>
            <w:r>
              <w:rPr>
                <w:rFonts w:ascii="Times New Roman" w:hAnsi="Times New Roman"/>
                <w:sz w:val="20"/>
              </w:rPr>
              <w:t>Fortführungslieferanten (Furniermaterial, Energie)</w:t>
            </w:r>
          </w:p>
        </w:tc>
        <w:tc>
          <w:tcPr>
            <w:tcW w:type="dxa" w:w="2268"/>
          </w:tcPr>
          <w:p>
            <w:r>
              <w:rPr>
                <w:rFonts w:ascii="Times New Roman" w:hAnsi="Times New Roman"/>
                <w:sz w:val="20"/>
              </w:rPr>
              <w:t>Lieferung während Fortführung</w:t>
            </w:r>
          </w:p>
        </w:tc>
        <w:tc>
          <w:tcPr>
            <w:tcW w:type="dxa" w:w="2268"/>
          </w:tcPr>
          <w:p>
            <w:r>
              <w:rPr>
                <w:rFonts w:ascii="Times New Roman" w:hAnsi="Times New Roman"/>
                <w:sz w:val="20"/>
              </w:rPr>
              <w:t>42.000</w:t>
            </w:r>
          </w:p>
        </w:tc>
        <w:tc>
          <w:tcPr>
            <w:tcW w:type="dxa" w:w="2268"/>
          </w:tcPr>
          <w:p>
            <w:r>
              <w:rPr>
                <w:rFonts w:ascii="Times New Roman" w:hAnsi="Times New Roman"/>
                <w:sz w:val="20"/>
              </w:rPr>
              <w:t>21.05.2026, sofort fällig</w:t>
            </w:r>
          </w:p>
        </w:tc>
      </w:tr>
      <w:tr>
        <w:tc>
          <w:tcPr>
            <w:tcW w:type="dxa" w:w="2268"/>
          </w:tcPr>
          <w:p>
            <w:r>
              <w:rPr>
                <w:rFonts w:ascii="Times New Roman" w:hAnsi="Times New Roman"/>
                <w:sz w:val="20"/>
              </w:rPr>
              <w:t>Havelstrom GbR (Vermieter)</w:t>
            </w:r>
          </w:p>
        </w:tc>
        <w:tc>
          <w:tcPr>
            <w:tcW w:type="dxa" w:w="2268"/>
          </w:tcPr>
          <w:p>
            <w:r>
              <w:rPr>
                <w:rFonts w:ascii="Times New Roman" w:hAnsi="Times New Roman"/>
                <w:sz w:val="20"/>
              </w:rPr>
              <w:t>Miete Halle Mai–Juni 2026</w:t>
            </w:r>
          </w:p>
        </w:tc>
        <w:tc>
          <w:tcPr>
            <w:tcW w:type="dxa" w:w="2268"/>
          </w:tcPr>
          <w:p>
            <w:r>
              <w:rPr>
                <w:rFonts w:ascii="Times New Roman" w:hAnsi="Times New Roman"/>
                <w:sz w:val="20"/>
              </w:rPr>
              <w:t>18.000</w:t>
            </w:r>
          </w:p>
        </w:tc>
        <w:tc>
          <w:tcPr>
            <w:tcW w:type="dxa" w:w="2268"/>
          </w:tcPr>
          <w:p>
            <w:r>
              <w:rPr>
                <w:rFonts w:ascii="Times New Roman" w:hAnsi="Times New Roman"/>
                <w:sz w:val="20"/>
              </w:rPr>
              <w:t>01.06.2026</w:t>
            </w:r>
          </w:p>
        </w:tc>
      </w:tr>
      <w:tr>
        <w:tc>
          <w:tcPr>
            <w:tcW w:type="dxa" w:w="2268"/>
          </w:tcPr>
          <w:p>
            <w:r>
              <w:rPr>
                <w:rFonts w:ascii="Times New Roman" w:hAnsi="Times New Roman"/>
                <w:sz w:val="20"/>
              </w:rPr>
              <w:t>Finanzamt (USt aus Fortführungserlösen)</w:t>
            </w:r>
          </w:p>
        </w:tc>
        <w:tc>
          <w:tcPr>
            <w:tcW w:type="dxa" w:w="2268"/>
          </w:tcPr>
          <w:p>
            <w:r>
              <w:rPr>
                <w:rFonts w:ascii="Times New Roman" w:hAnsi="Times New Roman"/>
                <w:sz w:val="20"/>
              </w:rPr>
              <w:t>§ 55 Abs. 4 InsO i.V.m. Fortführung</w:t>
            </w:r>
          </w:p>
        </w:tc>
        <w:tc>
          <w:tcPr>
            <w:tcW w:type="dxa" w:w="2268"/>
          </w:tcPr>
          <w:p>
            <w:r>
              <w:rPr>
                <w:rFonts w:ascii="Times New Roman" w:hAnsi="Times New Roman"/>
                <w:sz w:val="20"/>
              </w:rPr>
              <w:t>21.000</w:t>
            </w:r>
          </w:p>
        </w:tc>
        <w:tc>
          <w:tcPr>
            <w:tcW w:type="dxa" w:w="2268"/>
          </w:tcPr>
          <w:p>
            <w:r>
              <w:rPr>
                <w:rFonts w:ascii="Times New Roman" w:hAnsi="Times New Roman"/>
                <w:sz w:val="20"/>
              </w:rPr>
              <w:t>sofort</w:t>
            </w:r>
          </w:p>
        </w:tc>
      </w:tr>
      <w:tr>
        <w:tc>
          <w:tcPr>
            <w:tcW w:type="dxa" w:w="2268"/>
          </w:tcPr>
          <w:p>
            <w:r>
              <w:rPr>
                <w:rFonts w:ascii="Times New Roman" w:hAnsi="Times New Roman"/>
                <w:sz w:val="20"/>
              </w:rPr>
              <w:t>Externe Dienstleister (Bewachung, Entsorgung)</w:t>
            </w:r>
          </w:p>
        </w:tc>
        <w:tc>
          <w:tcPr>
            <w:tcW w:type="dxa" w:w="2268"/>
          </w:tcPr>
          <w:p>
            <w:r>
              <w:rPr>
                <w:rFonts w:ascii="Times New Roman" w:hAnsi="Times New Roman"/>
                <w:sz w:val="20"/>
              </w:rPr>
              <w:t>Sicherung Betriebsgelände</w:t>
            </w:r>
          </w:p>
        </w:tc>
        <w:tc>
          <w:tcPr>
            <w:tcW w:type="dxa" w:w="2268"/>
          </w:tcPr>
          <w:p>
            <w:r>
              <w:rPr>
                <w:rFonts w:ascii="Times New Roman" w:hAnsi="Times New Roman"/>
                <w:sz w:val="20"/>
              </w:rPr>
              <w:t>8.400</w:t>
            </w:r>
          </w:p>
        </w:tc>
        <w:tc>
          <w:tcPr>
            <w:tcW w:type="dxa" w:w="2268"/>
          </w:tcPr>
          <w:p>
            <w:r>
              <w:rPr>
                <w:rFonts w:ascii="Times New Roman" w:hAnsi="Times New Roman"/>
                <w:sz w:val="20"/>
              </w:rPr>
              <w:t>30.06.2026</w:t>
            </w:r>
          </w:p>
        </w:tc>
      </w:tr>
      <w:tr>
        <w:tc>
          <w:tcPr>
            <w:tcW w:type="dxa" w:w="2268"/>
          </w:tcPr>
          <w:p>
            <w:r>
              <w:rPr>
                <w:rFonts w:ascii="Times New Roman" w:hAnsi="Times New Roman"/>
                <w:sz w:val="20"/>
              </w:rPr>
              <w:t>Rechtsberatung (Gutachter Maschinenbewerter)</w:t>
            </w:r>
          </w:p>
        </w:tc>
        <w:tc>
          <w:tcPr>
            <w:tcW w:type="dxa" w:w="2268"/>
          </w:tcPr>
          <w:p>
            <w:r>
              <w:rPr>
                <w:rFonts w:ascii="Times New Roman" w:hAnsi="Times New Roman"/>
                <w:sz w:val="20"/>
              </w:rPr>
              <w:t>Sachverständigenhonorar</w:t>
            </w:r>
          </w:p>
        </w:tc>
        <w:tc>
          <w:tcPr>
            <w:tcW w:type="dxa" w:w="2268"/>
          </w:tcPr>
          <w:p>
            <w:r>
              <w:rPr>
                <w:rFonts w:ascii="Times New Roman" w:hAnsi="Times New Roman"/>
                <w:sz w:val="20"/>
              </w:rPr>
              <w:t>6.600</w:t>
            </w:r>
          </w:p>
        </w:tc>
        <w:tc>
          <w:tcPr>
            <w:tcW w:type="dxa" w:w="2268"/>
          </w:tcPr>
          <w:p>
            <w:r>
              <w:rPr>
                <w:rFonts w:ascii="Times New Roman" w:hAnsi="Times New Roman"/>
                <w:sz w:val="20"/>
              </w:rPr>
              <w:t>30.06.2026</w:t>
            </w:r>
          </w:p>
        </w:tc>
      </w:tr>
      <w:tr>
        <w:tc>
          <w:tcPr>
            <w:tcW w:type="dxa" w:w="2268"/>
          </w:tcPr>
          <w:p>
            <w:r>
              <w:rPr>
                <w:rFonts w:ascii="Times New Roman" w:hAnsi="Times New Roman"/>
                <w:b/>
                <w:sz w:val="20"/>
              </w:rPr>
              <w:t>Sonstige Masseverbindlichkeiten gesamt</w:t>
            </w:r>
          </w:p>
        </w:tc>
        <w:tc>
          <w:tcPr>
            <w:tcW w:type="dxa" w:w="2268"/>
          </w:tcPr>
          <w:p/>
        </w:tc>
        <w:tc>
          <w:tcPr>
            <w:tcW w:type="dxa" w:w="2268"/>
          </w:tcPr>
          <w:p>
            <w:r>
              <w:rPr>
                <w:rFonts w:ascii="Times New Roman" w:hAnsi="Times New Roman"/>
                <w:b/>
                <w:sz w:val="20"/>
              </w:rPr>
              <w:t>96.000</w:t>
            </w:r>
          </w:p>
        </w:tc>
        <w:tc>
          <w:tcPr>
            <w:tcW w:type="dxa" w:w="2268"/>
          </w:tcPr>
          <w:p/>
        </w:tc>
      </w:tr>
    </w:tbl>
    <w:p>
      <w:pPr>
        <w:spacing w:line="259" w:lineRule="auto" w:after="60"/>
        <w:jc w:val="left"/>
      </w:pPr>
      <w:r>
        <w:rPr>
          <w:b/>
        </w:rPr>
        <w:t>Liquiditätslücke bei Masseverbindlichkeiten: –33.920 EUR</w:t>
      </w:r>
    </w:p>
    <w:p>
      <w:pPr>
        <w:spacing w:line="259" w:lineRule="auto" w:after="60"/>
        <w:jc w:val="left"/>
      </w:pPr>
      <w:r>
        <w:t xml:space="preserve">Verfahrenskosten (§ 54 InsO: Gerichtskosten, IV-Vorschuss): ca. </w:t>
      </w:r>
      <w:r>
        <w:rPr>
          <w:b/>
        </w:rPr>
        <w:t>12.000 EUR</w:t>
      </w:r>
      <w:r>
        <w:t xml:space="preserve"> – diese sind </w:t>
      </w:r>
      <w:r>
        <w:rPr>
          <w:b/>
        </w:rPr>
        <w:t>vorrangig</w:t>
      </w:r>
      <w:r>
        <w:t xml:space="preserve"> zu bedienen (§ 209 Abs. 1 Nr. 1 InsO) und erscheinen gedeckt.</w:t>
      </w:r>
    </w:p>
    <w:p>
      <w:pPr>
        <w:spacing w:line="259" w:lineRule="auto" w:after="60"/>
      </w:pPr>
    </w:p>
    <w:p>
      <w:pPr>
        <w:pStyle w:val="Heading2"/>
        <w:spacing w:line="259" w:lineRule="auto" w:after="60"/>
      </w:pPr>
      <w:r>
        <w:rPr>
          <w:rFonts w:ascii="Times New Roman" w:hAnsi="Times New Roman"/>
        </w:rPr>
        <w:t>C. Prüfung der Voraussetzungen § 208 InsO</w:t>
      </w:r>
    </w:p>
    <w:p>
      <w:pPr>
        <w:pStyle w:val="Heading3"/>
        <w:spacing w:line="259" w:lineRule="auto" w:after="60"/>
      </w:pPr>
      <w:r>
        <w:rPr>
          <w:rFonts w:ascii="Times New Roman" w:hAnsi="Times New Roman"/>
        </w:rPr>
        <w:t>C.1 Liegt Masseunzulänglichkeit vor?</w:t>
      </w:r>
    </w:p>
    <w:p>
      <w:pPr>
        <w:spacing w:line="259" w:lineRule="auto" w:after="60"/>
        <w:jc w:val="left"/>
      </w:pPr>
      <w:r>
        <w:rPr>
          <w:b/>
        </w:rPr>
        <w:t>Definition:</w:t>
      </w:r>
      <w:r>
        <w:t xml:space="preserve"> Masseunzulänglichkeit liegt vor, wenn die Insolvenzmasse voraussichtlich nicht ausreicht, die fälligen sonstigen Masseverbindlichkeiten (§ 55 InsO) in voller Höhe zu erfüllen (§ 208 Abs. 1 InsO).</w:t>
      </w:r>
    </w:p>
    <w:p>
      <w:pPr>
        <w:spacing w:line="259" w:lineRule="auto" w:after="60"/>
        <w:jc w:val="left"/>
      </w:pPr>
      <w:r>
        <w:rPr>
          <w:b/>
        </w:rPr>
        <w:t>Ergebnis der Prüfung:</w:t>
      </w:r>
    </w:p>
    <w:p>
      <w:pPr>
        <w:spacing w:line="259" w:lineRule="auto" w:after="60"/>
        <w:jc w:val="left"/>
      </w:pPr>
      <w:r>
        <w:t xml:space="preserve">Zum </w:t>
      </w:r>
      <w:r>
        <w:rPr>
          <w:b/>
        </w:rPr>
        <w:t>30.06.2026</w:t>
      </w:r>
      <w:r>
        <w:t xml:space="preserve"> übersteigen die fälligen sonstigen Masseverbindlichkeiten (96.000 EUR) die verfügbare Masse (62.080 EUR) um </w:t>
      </w:r>
      <w:r>
        <w:rPr>
          <w:b/>
        </w:rPr>
        <w:t>33.920 EUR</w:t>
      </w:r>
      <w:r>
        <w:t xml:space="preserve">. Kurzfristig ist Masseunzulänglichkeit damit </w:t>
      </w:r>
      <w:r>
        <w:rPr>
          <w:b/>
        </w:rPr>
        <w:t>zunächst zu bejahen</w:t>
      </w:r>
      <w:r>
        <w:t>.</w:t>
      </w:r>
    </w:p>
    <w:p>
      <w:pPr>
        <w:spacing w:line="259" w:lineRule="auto" w:after="60"/>
        <w:jc w:val="left"/>
      </w:pPr>
      <w:r>
        <w:rPr>
          <w:b/>
        </w:rPr>
        <w:t>Aber:</w:t>
      </w:r>
      <w:r>
        <w:t xml:space="preserve"> Die noch nicht realisierten Massewerte (Maschinenverwertung, D&amp;O, Anfechtungen) betragen zusammen </w:t>
      </w:r>
      <w:r>
        <w:rPr>
          <w:b/>
        </w:rPr>
        <w:t>ca. 403.500 EUR</w:t>
      </w:r>
      <w:r>
        <w:t>. Diese werden voraussichtlich bis Dezember 2026 zufließen. Bei vollständiger Realisierung sind auch die Masseverbindlichkeiten deckbar.</w:t>
      </w:r>
    </w:p>
    <w:p>
      <w:pPr>
        <w:pStyle w:val="Heading3"/>
        <w:spacing w:line="259" w:lineRule="auto" w:after="60"/>
      </w:pPr>
      <w:r>
        <w:rPr>
          <w:rFonts w:ascii="Times New Roman" w:hAnsi="Times New Roman"/>
        </w:rPr>
        <w:t>C.2 Ist die Anzeige gleichwohl erforderlich?</w:t>
      </w:r>
    </w:p>
    <w:p>
      <w:pPr>
        <w:spacing w:line="259" w:lineRule="auto" w:after="60"/>
        <w:jc w:val="left"/>
      </w:pPr>
      <w:r>
        <w:t>Die Insolvenzverwalterin gelangt zu folgendem Abwägungsergebnis:</w:t>
      </w:r>
    </w:p>
    <w:p>
      <w:pPr>
        <w:pStyle w:val="ListBullet"/>
        <w:spacing w:line="259" w:lineRule="auto" w:after="60"/>
      </w:pPr>
      <w:r>
        <w:rPr>
          <w:b/>
        </w:rPr>
        <w:t>Prognose der Realisierbarkeit:</w:t>
      </w:r>
      <w:r>
        <w:t xml:space="preserve"> Die Maschinenverwertung ist mit Händlervertrag weit fortgeschritten (Abschluss bis 31.07.2026 erwartet). D&amp;O-Vergleich ist unterschriftsreif. Anfechtungen sind grundlegend stärker als zunächst geschätzt.</w:t>
      </w:r>
    </w:p>
    <w:p>
      <w:pPr>
        <w:pStyle w:val="ListBullet"/>
        <w:spacing w:line="259" w:lineRule="auto" w:after="60"/>
      </w:pPr>
      <w:r>
        <w:rPr>
          <w:b/>
        </w:rPr>
        <w:t>Risiko:</w:t>
      </w:r>
      <w:r>
        <w:t xml:space="preserve"> Sollten Maschinenverwertung und D&amp;O-Vergleich scheitern oder erheblich verzögert werden, wäre eine echte Masseunzulänglichkeit nicht auszuschließen.</w:t>
      </w:r>
    </w:p>
    <w:p>
      <w:pPr>
        <w:pStyle w:val="ListBullet"/>
        <w:spacing w:line="259" w:lineRule="auto" w:after="60"/>
      </w:pPr>
      <w:r>
        <w:rPr>
          <w:b/>
        </w:rPr>
        <w:t>Empfehlung IV:</w:t>
      </w:r>
      <w:r>
        <w:t xml:space="preserve"> Die Anzeige nach § 208 InsO wird </w:t>
      </w:r>
      <w:r>
        <w:rPr>
          <w:b/>
        </w:rPr>
        <w:t>derzeit zurückgestellt</w:t>
      </w:r>
      <w:r>
        <w:t>. Die Insolvenzverwalterin überwacht die Einzahlungen und wird ggf. bei Ausbleiben des Maschinenkaufpreises bis 15.08.2026 sofort anzeigen.</w:t>
      </w:r>
    </w:p>
    <w:p>
      <w:pPr>
        <w:pStyle w:val="Heading3"/>
        <w:spacing w:line="259" w:lineRule="auto" w:after="60"/>
      </w:pPr>
      <w:r>
        <w:rPr>
          <w:rFonts w:ascii="Times New Roman" w:hAnsi="Times New Roman"/>
        </w:rPr>
        <w:t>C.3 Rechtsfolgen der Anzeige (vorsorglich)</w:t>
      </w:r>
    </w:p>
    <w:p>
      <w:pPr>
        <w:spacing w:line="259" w:lineRule="auto" w:after="60"/>
        <w:jc w:val="left"/>
      </w:pPr>
      <w:r>
        <w:t>Für den Fall, dass die Anzeige erforderlich wird:</w:t>
      </w:r>
    </w:p>
    <w:p>
      <w:pPr>
        <w:pStyle w:val="ListBullet"/>
        <w:spacing w:line="259" w:lineRule="auto" w:after="60"/>
      </w:pPr>
      <w:r>
        <w:rPr>
          <w:b/>
        </w:rPr>
        <w:t>§ 208 Abs. 1 Satz 1 InsO:</w:t>
      </w:r>
      <w:r>
        <w:t xml:space="preserve"> Unverzügliche Anzeige an das Insolvenzgericht.</w:t>
      </w:r>
    </w:p>
    <w:p>
      <w:pPr>
        <w:pStyle w:val="ListBullet"/>
        <w:spacing w:line="259" w:lineRule="auto" w:after="60"/>
      </w:pPr>
      <w:r>
        <w:rPr>
          <w:b/>
        </w:rPr>
        <w:t>§ 208 Abs. 3 InsO:</w:t>
      </w:r>
      <w:r>
        <w:t xml:space="preserve"> Einstellung der Erfüllung fälliger Masseverbindlichkeiten bis zur Festsetzung des Verteilungsplans.</w:t>
      </w:r>
    </w:p>
    <w:p>
      <w:pPr>
        <w:pStyle w:val="ListBullet"/>
        <w:spacing w:line="259" w:lineRule="auto" w:after="60"/>
      </w:pPr>
      <w:r>
        <w:rPr>
          <w:b/>
        </w:rPr>
        <w:t>Befriedigungsrangfolge (§ 209 InsO):</w:t>
      </w:r>
    </w:p>
    <w:p>
      <w:pPr>
        <w:pStyle w:val="ListNumber"/>
        <w:spacing w:line="259" w:lineRule="auto" w:after="60"/>
      </w:pPr>
      <w:r>
        <w:t>Verfahrenskosten (§ 54 InsO)</w:t>
      </w:r>
    </w:p>
    <w:p>
      <w:pPr>
        <w:pStyle w:val="ListNumber"/>
        <w:spacing w:line="259" w:lineRule="auto" w:after="60"/>
      </w:pPr>
      <w:r>
        <w:t>Masseverbindlichkeiten, die nach Anzeige der Masseunzulänglichkeit begründet wurden (Neumasseverbindlichkeiten)</w:t>
      </w:r>
    </w:p>
    <w:p>
      <w:pPr>
        <w:pStyle w:val="ListNumber"/>
        <w:spacing w:line="259" w:lineRule="auto" w:after="60"/>
      </w:pPr>
      <w:r>
        <w:t>Altmasseverbindlichkeiten (vor der Anzeige begründete sonstige Masseverbindlichkeiten)</w:t>
      </w:r>
    </w:p>
    <w:p>
      <w:pPr>
        <w:pStyle w:val="ListBullet"/>
        <w:spacing w:line="259" w:lineRule="auto" w:after="60"/>
      </w:pPr>
      <w:r>
        <w:rPr>
          <w:b/>
        </w:rPr>
        <w:t>Haftungsrisiko IV:</w:t>
      </w:r>
      <w:r>
        <w:t xml:space="preserve"> Ab dem Zeitpunkt, ab dem die Insolvenzverwalterin Masseunzulänglichkeit erkennt oder erkennen muss, haftet sie für neue Masseverbindlichkeiten persönlich (§ 61 InsO). Ab sofort werden keine weiteren Masseverbindlichkeiten begründet, die nicht zwingend für die Verwertung erforderlich sind.</w:t>
      </w:r>
    </w:p>
    <w:p>
      <w:pPr>
        <w:spacing w:line="259" w:lineRule="auto" w:after="60"/>
      </w:pPr>
    </w:p>
    <w:p>
      <w:pPr>
        <w:pStyle w:val="Heading2"/>
        <w:spacing w:line="259" w:lineRule="auto" w:after="60"/>
      </w:pPr>
      <w:r>
        <w:rPr>
          <w:rFonts w:ascii="Times New Roman" w:hAnsi="Times New Roman"/>
        </w:rPr>
        <w:t>D. Sofortmaßnahmen (unabhängig von § 208-Entscheidung)</w:t>
      </w:r>
    </w:p>
    <w:p>
      <w:pPr>
        <w:pStyle w:val="ListNumber"/>
        <w:spacing w:line="259" w:lineRule="auto" w:after="60"/>
      </w:pPr>
      <w:r>
        <w:rPr>
          <w:b/>
        </w:rPr>
        <w:t>Zahlungsstopp</w:t>
      </w:r>
      <w:r>
        <w:t xml:space="preserve"> für nicht dringliche Masseverbindlichkeiten bis Eingang Maschinenkaufpreis.</w:t>
      </w:r>
    </w:p>
    <w:p>
      <w:pPr>
        <w:pStyle w:val="ListNumber"/>
        <w:spacing w:line="259" w:lineRule="auto" w:after="60"/>
      </w:pPr>
      <w:r>
        <w:rPr>
          <w:b/>
        </w:rPr>
        <w:t>Information Gläubigerausschuss</w:t>
      </w:r>
      <w:r>
        <w:t xml:space="preserve"> über Liquiditätslage (nächste Sitzung 15.07.2026).</w:t>
      </w:r>
    </w:p>
    <w:p>
      <w:pPr>
        <w:pStyle w:val="ListNumber"/>
        <w:spacing w:line="259" w:lineRule="auto" w:after="60"/>
      </w:pPr>
      <w:r>
        <w:rPr>
          <w:b/>
        </w:rPr>
        <w:t>Rückruf Stundungsbitten</w:t>
      </w:r>
      <w:r>
        <w:t xml:space="preserve"> bei Fortführungslieferanten: Einigung auf Zahlungsaufschub bis 31.08.2026 gegen Gerichtsbestätigung.</w:t>
      </w:r>
    </w:p>
    <w:p>
      <w:pPr>
        <w:pStyle w:val="ListNumber"/>
        <w:spacing w:line="259" w:lineRule="auto" w:after="60"/>
      </w:pPr>
      <w:r>
        <w:t>Maschinenkaufvertrag mit EML GmbH forcieren: Vertragsunterzeichnung bis 15.07.2026.</w:t>
      </w:r>
    </w:p>
    <w:p>
      <w:pPr>
        <w:pStyle w:val="ListNumber"/>
        <w:spacing w:line="259" w:lineRule="auto" w:after="60"/>
      </w:pPr>
      <w:r>
        <w:t>D&amp;O-Vergleich: Unterzeichnung bis 31.07.2026.</w:t>
      </w:r>
    </w:p>
    <w:p>
      <w:pPr>
        <w:spacing w:line="259" w:lineRule="auto" w:after="60"/>
      </w:pPr>
    </w:p>
    <w:p>
      <w:pPr>
        <w:spacing w:line="259" w:lineRule="auto" w:after="60"/>
        <w:jc w:val="left"/>
      </w:pPr>
      <w:r>
        <w:rPr>
          <w:i/>
        </w:rPr>
        <w:t>Dr. Nora Westphal, Insolvenzverwalterin, Magdeburg, 30.06.2026</w:t>
      </w:r>
    </w:p>
    <w:p>
      <w:pPr>
        <w:spacing w:line="259" w:lineRule="auto" w:after="60"/>
        <w:jc w:val="left"/>
      </w:pPr>
      <w:r>
        <w:rPr>
          <w:i/>
        </w:rPr>
        <w:t>Dieses Papier ist ein internes Arbeitsdokument und wird dem Gericht als Anlage zum Zwischenbericht übermittelt.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