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Gläubigerausschuss – Sitzungsprotokoll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Az.: 7 IN 41/26 – Möbelwerk Havelberg GmbH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Sitzung vom 15.07.2026</w:t>
      </w:r>
      <w:r>
        <w:rPr>
          <w:rFonts w:ascii="Times New Roman" w:hAnsi="Times New Roman"/>
          <w:b/>
          <w:i/>
          <w:sz w:val="22"/>
        </w:rPr>
        <w:t>, 14:00 – 16:30 Uhr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Ort: Kanzlei Dr. Westphal, Kurfürstenallee 88, 39104 Magdeburg (Konferenzraum)</w:t>
      </w:r>
    </w:p>
    <w:p>
      <w:pPr>
        <w:spacing w:line="259" w:lineRule="auto" w:after="60"/>
        <w:ind w:left="567"/>
      </w:pPr>
      <w:r>
        <w:rPr>
          <w:b/>
          <w:i/>
        </w:rPr>
        <w:t>Protokollführerin:</w:t>
      </w:r>
      <w:r>
        <w:rPr>
          <w:i/>
        </w:rPr>
        <w:t xml:space="preserve"> Sana Yildiz (bis 30.06.2026 Buchhalterin Schuldnerin, jetzt im Auftrag IV)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Anwesenheit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Präsenz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Nora Westphal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Insolvenzverwalterin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Klaus-Dieter Hoffmann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Vertreter Havelbank eG (Ausschussmitglied, Absonderungsgläubigerin)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Petra Großmann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Geschäftsführerin Furnier Nord GmbH (Ausschussmitglied)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Irene Lampe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Vertreterin der Arbeitnehmer (Ausschussmitglied)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Sana Yildiz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Protokollantin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</w:tr>
    </w:tbl>
    <w:p>
      <w:pPr>
        <w:spacing w:line="259" w:lineRule="auto" w:after="60"/>
        <w:jc w:val="left"/>
      </w:pPr>
      <w:r>
        <w:rPr>
          <w:i/>
        </w:rPr>
        <w:t>Beschlussfähigkeit festgestellt (§ 72 InsO i.V.m. Satzungsregelung: Anwesenheit von mindestens 3 Mitgliedern).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Tagesordnung</w:t>
      </w:r>
    </w:p>
    <w:p>
      <w:pPr>
        <w:pStyle w:val="ListNumber"/>
        <w:spacing w:line="259" w:lineRule="auto" w:after="60"/>
      </w:pPr>
      <w:r>
        <w:t>Genehmigung Protokoll vom 18.06.2026</w:t>
      </w:r>
    </w:p>
    <w:p>
      <w:pPr>
        <w:pStyle w:val="ListNumber"/>
        <w:spacing w:line="259" w:lineRule="auto" w:after="60"/>
      </w:pPr>
      <w:r>
        <w:t>Bericht der Insolvenzverwalterin</w:t>
      </w:r>
    </w:p>
    <w:p>
      <w:pPr>
        <w:pStyle w:val="ListNumber"/>
        <w:spacing w:line="259" w:lineRule="auto" w:after="60"/>
      </w:pPr>
      <w:r>
        <w:t>Maschinenverwertung: Einzelverwertung vs. Paketverkauf</w:t>
      </w:r>
    </w:p>
    <w:p>
      <w:pPr>
        <w:pStyle w:val="ListNumber"/>
        <w:spacing w:line="259" w:lineRule="auto" w:after="60"/>
      </w:pPr>
      <w:r>
        <w:t>D&amp;O-Vergleich</w:t>
      </w:r>
    </w:p>
    <w:p>
      <w:pPr>
        <w:pStyle w:val="ListNumber"/>
        <w:spacing w:line="259" w:lineRule="auto" w:after="60"/>
      </w:pPr>
      <w:r>
        <w:t>Anfechtungsverfahren</w:t>
      </w:r>
    </w:p>
    <w:p>
      <w:pPr>
        <w:pStyle w:val="ListNumber"/>
        <w:spacing w:line="259" w:lineRule="auto" w:after="60"/>
      </w:pPr>
      <w:r>
        <w:t>Masseunzulänglichkeit (Information)</w:t>
      </w:r>
    </w:p>
    <w:p>
      <w:pPr>
        <w:pStyle w:val="ListNumber"/>
        <w:spacing w:line="259" w:lineRule="auto" w:after="60"/>
      </w:pPr>
      <w:r>
        <w:t>Verschiedenes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1 – Genehmigung Protokoll 18.06.2026</w:t>
      </w:r>
    </w:p>
    <w:p>
      <w:pPr>
        <w:spacing w:line="259" w:lineRule="auto" w:after="60"/>
        <w:jc w:val="left"/>
      </w:pPr>
      <w:r>
        <w:t>Das Protokoll der konstituierenden Sitzung vom 18.06.2026 wird einvernehmlich genehmigt. Es gibt keine Einwände.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2 – Bericht der Insolvenzverwalterin</w:t>
      </w:r>
    </w:p>
    <w:p>
      <w:pPr>
        <w:spacing w:line="259" w:lineRule="auto" w:after="60"/>
        <w:jc w:val="left"/>
      </w:pPr>
      <w:r>
        <w:t>Dr. Westphal berichtet:</w:t>
      </w:r>
    </w:p>
    <w:p>
      <w:pPr>
        <w:pStyle w:val="ListBullet"/>
        <w:spacing w:line="259" w:lineRule="auto" w:after="60"/>
      </w:pPr>
      <w:r>
        <w:t xml:space="preserve">Die Betriebsfortführung (07.05. bis 20.05.2026) hat einen Nettomasse-Effekt von </w:t>
      </w:r>
      <w:r>
        <w:rPr>
          <w:b/>
        </w:rPr>
        <w:t>31.400 EUR</w:t>
      </w:r>
      <w:r>
        <w:t xml:space="preserve"> ergeben.</w:t>
      </w:r>
    </w:p>
    <w:p>
      <w:pPr>
        <w:pStyle w:val="ListBullet"/>
        <w:spacing w:line="259" w:lineRule="auto" w:after="60"/>
      </w:pPr>
      <w:r>
        <w:t xml:space="preserve">Das Anmeldevolumen beträgt derzeit </w:t>
      </w:r>
      <w:r>
        <w:rPr>
          <w:b/>
        </w:rPr>
        <w:t>1.345.800 EUR</w:t>
      </w:r>
      <w:r>
        <w:t>, die Anmeldefrist endet 01.08.2026.</w:t>
      </w:r>
    </w:p>
    <w:p>
      <w:pPr>
        <w:pStyle w:val="ListBullet"/>
        <w:spacing w:line="259" w:lineRule="auto" w:after="60"/>
      </w:pPr>
      <w:r>
        <w:t>Prüfungstermin: 14.09.2026 (bestätigt durch AG Stendal).</w:t>
      </w:r>
    </w:p>
    <w:p>
      <w:pPr>
        <w:pStyle w:val="ListBullet"/>
        <w:spacing w:line="259" w:lineRule="auto" w:after="60"/>
      </w:pPr>
      <w:r>
        <w:t>Die vorläufige Quotenprognose liegt bei ca. 18–20 % für ungesicherte Gläubiger.</w:t>
      </w:r>
    </w:p>
    <w:p>
      <w:pPr>
        <w:pStyle w:val="ListBullet"/>
        <w:spacing w:line="259" w:lineRule="auto" w:after="60"/>
      </w:pPr>
      <w:r>
        <w:t>Zeitplan: Schlussbericht und Schlussrechnung voraussichtlich bis 31.01.2027.</w:t>
      </w:r>
    </w:p>
    <w:p>
      <w:pPr>
        <w:spacing w:line="259" w:lineRule="auto" w:after="60"/>
        <w:jc w:val="left"/>
      </w:pPr>
      <w:r>
        <w:t>Klaus-Dieter Hoffmann (Havelbank) fragt, ob die Absonderungserlöse aus der Maschinenverwertung direkt an die Havelbank ausgekehrt werden. Dr. Westphal erklärt: Die Erlöse gehen zunächst auf das Anderkonto; nach Abzug der Kostenpauschale (4 % Feststellungskosten + 4 % Verwertungskosten) wird der Nettobetrag an die Havelbank überwiesen.</w:t>
      </w:r>
    </w:p>
    <w:p>
      <w:pPr>
        <w:spacing w:line="259" w:lineRule="auto" w:after="60"/>
        <w:jc w:val="left"/>
      </w:pPr>
      <w:r>
        <w:rPr>
          <w:b/>
        </w:rPr>
        <w:t>Irene Lampe</w:t>
      </w:r>
      <w:r>
        <w:t xml:space="preserve"> (Arbeitnehmervertreterin) fragt, ob die rückständigen Urlaubsansprüche der entlassenen Mitarbeiter als Masseforderung oder als Insolvenzforderung zu behandeln sind. Dr. Westphal erläutert: Urlaubsabgeltung für die Zeit nach Eröffnung (hier: Kündigungszeitraum Mai–Juni 2026) ist Masseforderung (§ 55 Abs. 1 Nr. 2 InsO); Urlaubsrückstände aus der Zeit vor Eröffnung sind Insolvenzforderung (§ 38 InsO). Die jeweiligen Bescheide werden den Mitarbeitern individuell übermittelt.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3 – Maschinenverwertung</w:t>
      </w:r>
    </w:p>
    <w:p>
      <w:pPr>
        <w:spacing w:line="259" w:lineRule="auto" w:after="60"/>
        <w:jc w:val="left"/>
      </w:pPr>
      <w:r>
        <w:t>Dr. Westphal legt dem Ausschuss vor:</w:t>
      </w:r>
    </w:p>
    <w:p>
      <w:pPr>
        <w:spacing w:line="259" w:lineRule="auto" w:after="60"/>
        <w:jc w:val="left"/>
      </w:pPr>
      <w:r>
        <w:rPr>
          <w:b/>
        </w:rPr>
        <w:t>Option A – Einzelverwertung</w:t>
      </w:r>
      <w:r>
        <w:t xml:space="preserve"> via EML Maschinenhändler GmbH: Angebotspreis </w:t>
      </w:r>
      <w:r>
        <w:rPr>
          <w:b/>
        </w:rPr>
        <w:t>230.000 EUR</w:t>
      </w:r>
      <w:r>
        <w:t xml:space="preserve"> (Mindestgebot); Abholtermin 01.08.2026; Zahlung bei Abholung.</w:t>
      </w:r>
    </w:p>
    <w:p>
      <w:pPr>
        <w:spacing w:line="259" w:lineRule="auto" w:after="60"/>
        <w:jc w:val="left"/>
      </w:pPr>
      <w:r>
        <w:rPr>
          <w:b/>
        </w:rPr>
        <w:t>Option B – Paketverkauf</w:t>
      </w:r>
      <w:r>
        <w:t xml:space="preserve"> (Maschinen + Lackierkabine + Warenlager nach EV-Klärung): Ein Kaufinteressent hat einen indikativen Preis von 198.000 EUR für das Gesamtpaket angeboten (zu prüfen, ob Warenlager inkludiert werden kann).</w:t>
      </w:r>
    </w:p>
    <w:p>
      <w:pPr>
        <w:spacing w:line="259" w:lineRule="auto" w:after="60"/>
        <w:jc w:val="left"/>
      </w:pPr>
      <w:r>
        <w:rPr>
          <w:b/>
        </w:rPr>
        <w:t>Diskussion:</w:t>
      </w:r>
    </w:p>
    <w:p>
      <w:pPr>
        <w:pStyle w:val="ListBullet"/>
        <w:spacing w:line="259" w:lineRule="auto" w:after="60"/>
      </w:pPr>
      <w:r>
        <w:t>Hoffmann (Havelbank): Präferiert Einzelverwertung, da die Absonderungsgegenstände getrennt bewertet werden können. Einzelverwertung schützt die Havelbank besser vor Querverrechnungen. Stimmt für Option A.</w:t>
      </w:r>
    </w:p>
    <w:p>
      <w:pPr>
        <w:pStyle w:val="ListBullet"/>
        <w:spacing w:line="259" w:lineRule="auto" w:after="60"/>
      </w:pPr>
      <w:r>
        <w:t>Großmann (Furnier Nord): Einzelverwertung bevorzugt, da höherer Erlös quotenerhöhend wirkt.</w:t>
      </w:r>
    </w:p>
    <w:p>
      <w:pPr>
        <w:pStyle w:val="ListBullet"/>
        <w:spacing w:line="259" w:lineRule="auto" w:after="60"/>
      </w:pPr>
      <w:r>
        <w:t>Lampe (Arbeitnehmer): Kein Einwand gegen Option A.</w:t>
      </w:r>
    </w:p>
    <w:p>
      <w:pPr>
        <w:spacing w:line="259" w:lineRule="auto" w:after="60"/>
        <w:jc w:val="left"/>
      </w:pPr>
      <w:r>
        <w:rPr>
          <w:b/>
        </w:rPr>
        <w:t>Beschluss TOP 3:</w:t>
      </w:r>
      <w:r>
        <w:t xml:space="preserve"> Der Gläubigerausschuss genehmigt einstimmig die Einzelverwertung der Maschinen über EML Maschinenhändler GmbH zum Mindestgebot von </w:t>
      </w:r>
      <w:r>
        <w:rPr>
          <w:b/>
        </w:rPr>
        <w:t>230.000 EUR</w:t>
      </w:r>
      <w:r>
        <w:t xml:space="preserve">. Die Lackierkabine wird gesondert über das Auktionshaus Elbe-Auktionen GmbH verwertet. </w:t>
      </w:r>
      <w:r>
        <w:rPr>
          <w:b/>
        </w:rPr>
        <w:t>(Abstimmung: 3:0:0)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4 – D&amp;O-Vergleich</w:t>
      </w:r>
    </w:p>
    <w:p>
      <w:pPr>
        <w:spacing w:line="259" w:lineRule="auto" w:after="60"/>
        <w:jc w:val="left"/>
      </w:pPr>
      <w:r>
        <w:t xml:space="preserve">Dr. Westphal berichtet: Die Continentale Assekuranz AG hat ein Vergleichsangebot über </w:t>
      </w:r>
      <w:r>
        <w:rPr>
          <w:b/>
        </w:rPr>
        <w:t>115.000 EUR</w:t>
      </w:r>
      <w:r>
        <w:t xml:space="preserve"> zur Abgeltung aller Ansprüche nach § 15b InsO und allgemeiner Geschäftsführerhaftung (§ 43 GmbHG) gegen Tim Brauer unterbreitet. Das Angebot umfasst alle bekannten Ansprüche im Rahmen der D&amp;O-Deckungssumme.</w:t>
      </w:r>
    </w:p>
    <w:p>
      <w:pPr>
        <w:spacing w:line="259" w:lineRule="auto" w:after="60"/>
        <w:jc w:val="left"/>
      </w:pPr>
      <w:r>
        <w:rPr>
          <w:b/>
        </w:rPr>
        <w:t>Diskussion:</w:t>
      </w:r>
      <w:r>
        <w:t xml:space="preserve"> Hoffmann fragt, ob eine höhere Leistung realistisch ist. Dr. Westphal erläutert: Der § 15b-Anspruch beziffert sich auf ca. 34.000 EUR; die höhere Summe schließt auch Ansprüche aus 2024/2025 ein, die aber im Streitfall erst nach aufwendiger Beweisaufnahme festgestellt werden könnten. Das Vergleichsangebot gilt für 30 Tage.</w:t>
      </w:r>
    </w:p>
    <w:p>
      <w:pPr>
        <w:spacing w:line="259" w:lineRule="auto" w:after="60"/>
        <w:jc w:val="left"/>
      </w:pPr>
      <w:r>
        <w:rPr>
          <w:b/>
        </w:rPr>
        <w:t>Beschluss TOP 4:</w:t>
      </w:r>
      <w:r>
        <w:t xml:space="preserve"> Der Gläubigerausschuss genehmigt einstimmig den Abschluss des D&amp;O-Vergleichs über </w:t>
      </w:r>
      <w:r>
        <w:rPr>
          <w:b/>
        </w:rPr>
        <w:t>115.000 EUR</w:t>
      </w:r>
      <w:r>
        <w:t xml:space="preserve">. Dr. Westphal wird beauftragt, den Vergleichsvertrag zu unterzeichnen. </w:t>
      </w:r>
      <w:r>
        <w:rPr>
          <w:b/>
        </w:rPr>
        <w:t>(Abstimmung: 3:0:0)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5 – Anfechtungsverfahren</w:t>
      </w:r>
    </w:p>
    <w:p>
      <w:pPr>
        <w:spacing w:line="259" w:lineRule="auto" w:after="60"/>
        <w:jc w:val="left"/>
      </w:pPr>
      <w:r>
        <w:t>Dr. Westphal erläutert die vier Anfechtungsfälle (→ Anfechtungsmatrix Datei 10). Geplanter Versand der Anfechtungsschreiben bis 30.08.2026. Der Ausschuss bittet darum, über Vergleichsangebote bei Einzelbeiträgen über 10.000 EUR vorab informiert zu werden.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6 – Masseunzulänglichkeit (Information)</w:t>
      </w:r>
    </w:p>
    <w:p>
      <w:pPr>
        <w:spacing w:line="259" w:lineRule="auto" w:after="60"/>
        <w:jc w:val="left"/>
      </w:pPr>
      <w:r>
        <w:t>Dr. Westphal informiert, dass zum 30.06.2026 eine temporäre Liquiditätslücke bestand (Masseverbindlichkeiten 96.000 EUR vs. verfügbare Liquidität ca. 62.000 EUR). Eine § 208-Anzeige wird zurzeit nicht erstattet, da die Maschinenverwertungserlöse die Lücke schließen werden. Der Ausschuss nimmt die Information zur Kenntnis und bittet um sofortige Benachrichtigung bei Verschlechterung der Lage.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7 – Verschiedenes</w:t>
      </w:r>
    </w:p>
    <w:p>
      <w:pPr>
        <w:pStyle w:val="ListBullet"/>
        <w:spacing w:line="259" w:lineRule="auto" w:after="60"/>
      </w:pPr>
      <w:r>
        <w:t>Dr. Westphal teilt mit, dass der Steuerberater der Schuldnerin (Hellmann &amp; Partner) die Erstellung der Jahresabschlüsse 2024 und 2025 bis 31.10.2026 zugesagt hat. Dies ist Voraussetzung für die Berechnung möglicher Steuererstattungsansprüche.</w:t>
      </w:r>
    </w:p>
    <w:p>
      <w:pPr>
        <w:pStyle w:val="ListBullet"/>
        <w:spacing w:line="259" w:lineRule="auto" w:after="60"/>
      </w:pPr>
      <w:r>
        <w:t xml:space="preserve">Nächste Sitzung des Gläubigerausschusses: </w:t>
      </w:r>
      <w:r>
        <w:rPr>
          <w:b/>
        </w:rPr>
        <w:t>28.09.2026, 14:00 Uhr</w:t>
      </w:r>
      <w:r>
        <w:t xml:space="preserve"> (nach Prüfungstermin 14.09.2026).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Das Protokoll wird von den anwesenden Mitgliedern genehmigt:</w:t>
      </w:r>
    </w:p>
    <w:p>
      <w:pPr>
        <w:spacing w:line="259" w:lineRule="auto" w:after="60"/>
        <w:jc w:val="left"/>
      </w:pPr>
      <w:r>
        <w:t>Dr. Nora Westphal          Klaus-Dieter Hoffmann</w:t>
      </w:r>
    </w:p>
    <w:p>
      <w:pPr>
        <w:spacing w:line="259" w:lineRule="auto" w:after="60"/>
        <w:jc w:val="left"/>
      </w:pPr>
      <w:r>
        <w:t>Insolvenzverwalterin       Havelbank eG</w:t>
      </w:r>
    </w:p>
    <w:p>
      <w:pPr>
        <w:spacing w:line="259" w:lineRule="auto" w:after="60"/>
        <w:jc w:val="left"/>
      </w:pPr>
      <w:r>
        <w:t>Petra Großmann             Irene Lampe</w:t>
      </w:r>
    </w:p>
    <w:p>
      <w:pPr>
        <w:spacing w:line="259" w:lineRule="auto" w:after="60"/>
        <w:jc w:val="left"/>
      </w:pPr>
      <w:r>
        <w:t>Furnier Nord GmbH          Arbeitnehmervertreterin</w:t>
      </w:r>
    </w:p>
    <w:p>
      <w:pPr>
        <w:spacing w:line="259" w:lineRule="auto" w:after="60"/>
        <w:jc w:val="left"/>
      </w:pPr>
      <w:r>
        <w:t>Magdeburg, 16.07.2026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