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Eröffnungsbeschluss</w:t>
      </w:r>
    </w:p>
    <w:p>
      <w:pPr>
        <w:spacing w:before="120" w:after="60" w:line="259" w:lineRule="auto"/>
        <w:jc w:val="left"/>
      </w:pPr>
      <w:r>
        <w:rPr>
          <w:rFonts w:ascii="Times New Roman" w:hAnsi="Times New Roman"/>
          <w:b/>
          <w:sz w:val="22"/>
        </w:rPr>
        <w:t>Amtsgericht Kiel — Insolvenzgericht</w:t>
      </w:r>
    </w:p>
    <w:p>
      <w:pPr>
        <w:spacing w:before="120" w:after="60" w:line="259" w:lineRule="auto"/>
        <w:jc w:val="left"/>
      </w:pPr>
      <w:r>
        <w:rPr>
          <w:rFonts w:ascii="Times New Roman" w:hAnsi="Times New Roman"/>
          <w:b/>
          <w:sz w:val="22"/>
        </w:rPr>
        <w:t>Deliusstraße 22</w:t>
      </w:r>
    </w:p>
    <w:p>
      <w:pPr>
        <w:spacing w:before="120" w:after="60" w:line="259" w:lineRule="auto"/>
        <w:jc w:val="left"/>
      </w:pPr>
      <w:r>
        <w:rPr>
          <w:rFonts w:ascii="Times New Roman" w:hAnsi="Times New Roman"/>
          <w:b/>
          <w:sz w:val="22"/>
        </w:rPr>
        <w:t>24114 Kiel</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10 IN 127/13</w:t>
      </w:r>
    </w:p>
    <w:p>
      <w:pPr>
        <w:spacing w:before="120" w:after="60" w:line="259" w:lineRule="auto"/>
        <w:jc w:val="left"/>
      </w:pPr>
      <w:r>
        <w:rPr>
          <w:rFonts w:ascii="Times New Roman" w:hAnsi="Times New Roman"/>
          <w:b/>
          <w:sz w:val="22"/>
        </w:rPr>
        <w:t>Kiel, 01. Juni 2013, 09:00 Uhr</w:t>
      </w:r>
    </w:p>
    <w:p>
      <w:pPr>
        <w:spacing w:line="259" w:lineRule="auto" w:after="60"/>
      </w:pPr>
    </w:p>
    <w:p>
      <w:pPr>
        <w:pStyle w:val="Heading2"/>
        <w:spacing w:before="120" w:after="60" w:line="259" w:lineRule="auto"/>
      </w:pPr>
      <w:r>
        <w:rPr>
          <w:rFonts w:ascii="Times New Roman" w:hAnsi="Times New Roman"/>
          <w:b/>
          <w:sz w:val="22"/>
        </w:rPr>
        <w:t>In dem Insolvenzeröffnungsverfahren</w:t>
      </w:r>
    </w:p>
    <w:p>
      <w:pPr>
        <w:spacing w:line="259" w:lineRule="auto" w:after="60"/>
        <w:jc w:val="left"/>
      </w:pPr>
      <w:r>
        <w:t xml:space="preserve">der </w:t>
      </w:r>
      <w:r>
        <w:rPr>
          <w:b/>
        </w:rPr>
        <w:t>Nordlicht Handels GmbH</w:t>
      </w:r>
      <w:r>
        <w:t>, Bergstraße 14, 24103 Kiel, HRB 12847 KI, vertreten durch die Geschäftsführer Stefan Berger (geboren 23.04.1968) und Katrin Berger (geboren 17.09.1971),</w:t>
      </w:r>
    </w:p>
    <w:p>
      <w:pPr>
        <w:spacing w:line="259" w:lineRule="auto" w:after="60"/>
        <w:jc w:val="left"/>
      </w:pPr>
      <w:r>
        <w:t>— Schuldnerin —</w:t>
      </w:r>
    </w:p>
    <w:p>
      <w:pPr>
        <w:spacing w:line="259" w:lineRule="auto" w:after="60"/>
        <w:jc w:val="left"/>
      </w:pPr>
      <w:r>
        <w:t>ergeht aufgrund</w:t>
      </w:r>
    </w:p>
    <w:p>
      <w:pPr>
        <w:pStyle w:val="ListBullet"/>
        <w:spacing w:line="259" w:lineRule="auto" w:after="60"/>
      </w:pPr>
      <w:r>
        <w:t>des Eigenantrags der Schuldnerin vom 14.01.2013 (eingegangen 14.01.2013),</w:t>
      </w:r>
    </w:p>
    <w:p>
      <w:pPr>
        <w:pStyle w:val="ListBullet"/>
        <w:spacing w:line="259" w:lineRule="auto" w:after="60"/>
      </w:pPr>
      <w:r>
        <w:t>des Antrags der Kieler Volksbank eG vom 28.01.2013 (Az. 10 IN 142/13, verbunden 15.03.2013),</w:t>
      </w:r>
    </w:p>
    <w:p>
      <w:pPr>
        <w:pStyle w:val="ListBullet"/>
        <w:spacing w:line="259" w:lineRule="auto" w:after="60"/>
      </w:pPr>
      <w:r>
        <w:t>des Antrags der DAK-Gesundheit, Körperschaft des öffentlichen Rechts, vom 15.02.2013 (Az. 10 IN 168/13, verbunden 15.03.2013),</w:t>
      </w:r>
    </w:p>
    <w:p>
      <w:pPr>
        <w:pStyle w:val="ListBullet"/>
        <w:spacing w:line="259" w:lineRule="auto" w:after="60"/>
      </w:pPr>
      <w:r>
        <w:t>des Antrags der IKK Nord vom 08.03.2013 (Az. 10 IN 205/13, verbunden 15.03.2013)</w:t>
      </w:r>
    </w:p>
    <w:p>
      <w:pPr>
        <w:spacing w:line="259" w:lineRule="auto" w:after="60"/>
        <w:jc w:val="left"/>
      </w:pPr>
      <w:r>
        <w:t>— sämtlich führend unter Az. 10 IN 127/13 —</w:t>
      </w:r>
    </w:p>
    <w:p>
      <w:pPr>
        <w:spacing w:line="259" w:lineRule="auto" w:after="60"/>
        <w:jc w:val="left"/>
      </w:pPr>
      <w:r>
        <w:t>folgender</w:t>
      </w:r>
    </w:p>
    <w:p>
      <w:pPr>
        <w:pStyle w:val="Heading2"/>
        <w:spacing w:line="259" w:lineRule="auto" w:after="60"/>
      </w:pPr>
      <w:r>
        <w:rPr>
          <w:rFonts w:ascii="Times New Roman" w:hAnsi="Times New Roman"/>
        </w:rPr>
        <w:t>Beschluss</w:t>
      </w:r>
    </w:p>
    <w:p>
      <w:pPr>
        <w:spacing w:line="259" w:lineRule="auto" w:after="60"/>
        <w:jc w:val="left"/>
      </w:pPr>
      <w:r>
        <w:rPr>
          <w:b/>
        </w:rPr>
        <w:t>I.</w:t>
      </w:r>
      <w:r>
        <w:t xml:space="preserve"> Das Insolvenzverfahren über das Vermögen der </w:t>
      </w:r>
      <w:r>
        <w:rPr>
          <w:b/>
        </w:rPr>
        <w:t>Nordlicht Handels GmbH</w:t>
      </w:r>
      <w:r>
        <w:t xml:space="preserve"> wird eröffnet.</w:t>
      </w:r>
    </w:p>
    <w:p>
      <w:pPr>
        <w:spacing w:line="259" w:lineRule="auto" w:after="60"/>
        <w:jc w:val="left"/>
      </w:pPr>
      <w:r>
        <w:rPr>
          <w:b/>
        </w:rPr>
        <w:t>II.</w:t>
      </w:r>
      <w:r>
        <w:t xml:space="preserve"> Insolvenzgrund: Zahlungsunfähigkeit (§ 17 InsO) und Überschuldung (§ 19 InsO).</w:t>
      </w:r>
    </w:p>
    <w:p>
      <w:pPr>
        <w:spacing w:line="259" w:lineRule="auto" w:after="60"/>
        <w:jc w:val="left"/>
      </w:pPr>
      <w:r>
        <w:rPr>
          <w:b/>
        </w:rPr>
        <w:t>III.</w:t>
      </w:r>
      <w:r>
        <w:t xml:space="preserve"> Zum Insolvenzverwalter wird</w:t>
      </w:r>
    </w:p>
    <w:p>
      <w:pPr>
        <w:spacing w:line="259" w:lineRule="auto" w:after="60"/>
        <w:jc w:val="left"/>
      </w:pPr>
      <w:r>
        <w:rPr>
          <w:b/>
        </w:rPr>
        <w:t>Dr. Jens-Peter Hartmann</w:t>
      </w:r>
    </w:p>
    <w:p>
      <w:pPr>
        <w:spacing w:line="259" w:lineRule="auto" w:after="60"/>
        <w:jc w:val="left"/>
      </w:pPr>
      <w:r>
        <w:t>Brinkmann · Hartmann &amp; Kollegen Insolvenzverwalter</w:t>
      </w:r>
    </w:p>
    <w:p>
      <w:pPr>
        <w:spacing w:line="259" w:lineRule="auto" w:after="60"/>
        <w:jc w:val="left"/>
      </w:pPr>
      <w:r>
        <w:t>Hopfenstraße 47</w:t>
      </w:r>
    </w:p>
    <w:p>
      <w:pPr>
        <w:spacing w:line="259" w:lineRule="auto" w:after="60"/>
        <w:jc w:val="left"/>
      </w:pPr>
      <w:r>
        <w:t>24103 Kiel</w:t>
      </w:r>
    </w:p>
    <w:p>
      <w:pPr>
        <w:spacing w:line="259" w:lineRule="auto" w:after="60"/>
        <w:jc w:val="left"/>
      </w:pPr>
      <w:r>
        <w:t>bestellt.</w:t>
      </w:r>
    </w:p>
    <w:p>
      <w:pPr>
        <w:spacing w:line="259" w:lineRule="auto" w:after="60"/>
        <w:jc w:val="left"/>
      </w:pPr>
      <w:r>
        <w:rPr>
          <w:b/>
        </w:rPr>
        <w:t>IV.</w:t>
      </w:r>
      <w:r>
        <w:t xml:space="preserve"> Die Schuldnerin und alle Personen, die Forderungen gegen die Schuldnerin geltend machen, haben ihre Forderungen bis zum </w:t>
      </w:r>
      <w:r>
        <w:rPr>
          <w:b/>
        </w:rPr>
        <w:t>15. Juli 2013</w:t>
      </w:r>
      <w:r>
        <w:t xml:space="preserve"> schriftlich beim Insolvenzverwalter anzumelden (§ 174 InsO).</w:t>
      </w:r>
    </w:p>
    <w:p>
      <w:pPr>
        <w:spacing w:line="259" w:lineRule="auto" w:after="60"/>
        <w:jc w:val="left"/>
      </w:pPr>
      <w:r>
        <w:rPr>
          <w:b/>
        </w:rPr>
        <w:t>V.</w:t>
      </w:r>
      <w:r>
        <w:t xml:space="preserve"> Berichts- und Prüfungstermin: </w:t>
      </w:r>
      <w:r>
        <w:rPr>
          <w:b/>
        </w:rPr>
        <w:t>15. August 2013, 10:00 Uhr, Sitzungssaal 12</w:t>
      </w:r>
      <w:r>
        <w:t>, Amtsgericht Kiel, Deliusstraße 22, 24114 Kiel (§§ 29 Abs. 1 Nr. 1, 156, 176 InsO).</w:t>
      </w:r>
    </w:p>
    <w:p>
      <w:pPr>
        <w:spacing w:line="259" w:lineRule="auto" w:after="60"/>
        <w:jc w:val="left"/>
      </w:pPr>
      <w:r>
        <w:rPr>
          <w:b/>
        </w:rPr>
        <w:t>VI.</w:t>
      </w:r>
      <w:r>
        <w:t xml:space="preserve"> Erste Gläubigerversammlung: identisch mit Berichtstermin.</w:t>
      </w:r>
    </w:p>
    <w:p>
      <w:pPr>
        <w:spacing w:line="259" w:lineRule="auto" w:after="60"/>
        <w:jc w:val="left"/>
      </w:pPr>
      <w:r>
        <w:rPr>
          <w:b/>
        </w:rPr>
        <w:t>VII.</w:t>
      </w:r>
      <w:r>
        <w:t xml:space="preserve"> Sämtliche bisherigen vorläufigen Sicherungsmaßnahmen werden mit Eröffnung des Verfahrens hinfällig.</w:t>
      </w:r>
    </w:p>
    <w:p>
      <w:pPr>
        <w:spacing w:line="259" w:lineRule="auto" w:after="60"/>
        <w:jc w:val="left"/>
      </w:pPr>
      <w:r>
        <w:rPr>
          <w:b/>
        </w:rPr>
        <w:t>VIII.</w:t>
      </w:r>
      <w:r>
        <w:t xml:space="preserve"> Der Verwalter wird beauftragt zu prüfen, ob</w:t>
      </w:r>
    </w:p>
    <w:p>
      <w:pPr>
        <w:spacing w:line="259" w:lineRule="auto" w:after="60"/>
        <w:jc w:val="left"/>
      </w:pPr>
      <w:r>
        <w:t>a) der Geschäftsbetrieb der Schuldnerin im Insolvenzverfahren fortgeführt werden kann (mindestens zur Realisierung von Räumungsverkäufen Sommer-/Winterware),</w:t>
      </w:r>
    </w:p>
    <w:p>
      <w:pPr>
        <w:spacing w:line="259" w:lineRule="auto" w:after="60"/>
        <w:jc w:val="left"/>
      </w:pPr>
      <w:r>
        <w:t>b) eine übertragende Sanierung (Asset Deal) in Betracht kommt,</w:t>
      </w:r>
    </w:p>
    <w:p>
      <w:pPr>
        <w:spacing w:line="259" w:lineRule="auto" w:after="60"/>
        <w:jc w:val="left"/>
      </w:pPr>
      <w:r>
        <w:t>c) eine Stilllegung mit anschließender Verwertung Vorteile bietet,</w:t>
      </w:r>
    </w:p>
    <w:p>
      <w:pPr>
        <w:spacing w:line="259" w:lineRule="auto" w:after="60"/>
        <w:jc w:val="left"/>
      </w:pPr>
      <w:r>
        <w:t>d) Anfechtungen gegen DAK und IKK (Antrags-Beitragsstoßung) zu prüfen sind.</w:t>
      </w:r>
    </w:p>
    <w:p>
      <w:pPr>
        <w:spacing w:line="259" w:lineRule="auto" w:after="60"/>
        <w:jc w:val="left"/>
      </w:pPr>
      <w:r>
        <w:rPr>
          <w:b/>
        </w:rPr>
        <w:t>IX.</w:t>
      </w:r>
      <w:r>
        <w:t xml:space="preserve"> Die Veröffentlichung des Beschlusses erfolgt im elektronischen Veröffentlichungs-Portal (www.insolvenzbekanntmachungen.de) und im Bundesanzeiger.</w:t>
      </w:r>
    </w:p>
    <w:p>
      <w:pPr>
        <w:spacing w:line="259" w:lineRule="auto" w:after="60"/>
        <w:jc w:val="left"/>
      </w:pPr>
      <w:r>
        <w:rPr>
          <w:b/>
        </w:rPr>
        <w:t>X.</w:t>
      </w:r>
      <w:r>
        <w:t xml:space="preserve"> Das Handelsregister und das Finanzamt werden in Kenntnis gesetzt.</w:t>
      </w:r>
    </w:p>
    <w:p>
      <w:pPr>
        <w:pStyle w:val="Heading2"/>
        <w:spacing w:line="259" w:lineRule="auto" w:after="60"/>
      </w:pPr>
      <w:r>
        <w:rPr>
          <w:rFonts w:ascii="Times New Roman" w:hAnsi="Times New Roman"/>
        </w:rPr>
        <w:t>Gründe</w:t>
      </w:r>
    </w:p>
    <w:p>
      <w:pPr>
        <w:spacing w:line="259" w:lineRule="auto" w:after="60"/>
        <w:jc w:val="left"/>
      </w:pPr>
      <w:r>
        <w:t>Die Anträge sind zulässig. Der Eigenantrag der Schuldnerin vom 14.01.2013 wahrt die Drei-Wochen-Frist nach § 15a InsO; die Geschäftsführer haben angegeben, dass die Zahlungsunfähigkeit Ende Dezember 2012 erkennbar geworden sei.</w:t>
      </w:r>
    </w:p>
    <w:p>
      <w:pPr>
        <w:spacing w:line="259" w:lineRule="auto" w:after="60"/>
        <w:jc w:val="left"/>
      </w:pPr>
      <w:r>
        <w:t>Die Gläubigeranträge sind ebenfalls schlüssig begründet. Insbesondere die Kieler Volksbank eG hat mit Schreiben vom 28.01.2013 fällige Forderungen aus Kontokorrent (EUR 47.234,18) und Investitionsdarlehen (gestellt fällig zum 31.01.2013) glaubhaft gemacht. Die Sozialversicherungs-Träger haben Beitragsforderungen aus Q3/Q4 2012 vorgelegt, die seit Drittletzter Bankarbeitstag des jeweiligen Monats fällig waren und nicht abgeführt wurden.</w:t>
      </w:r>
    </w:p>
    <w:p>
      <w:pPr>
        <w:spacing w:line="259" w:lineRule="auto" w:after="60"/>
        <w:jc w:val="left"/>
      </w:pPr>
      <w:r>
        <w:t>Die vorläufige Insolvenzverwaltung (angeordnet am 18.01.2013, Sicherungsmaßnahmen 25.01.2013) hat unter dem 22.04.2013 ein Eröffnungsgutachten vorgelegt, das die Insolvenzgründe und die Massearmut-Frage prüft. Das Gutachten bejaht das Vorliegen einer kostendeckenden Masse — die Verwertung des Warenbestands ermöglicht die Deckung der Verfahrenskosten. Eine Abweisung mangels Masse ist nicht angezeigt.</w:t>
      </w:r>
    </w:p>
    <w:p>
      <w:pPr>
        <w:spacing w:line="259" w:lineRule="auto" w:after="60"/>
        <w:jc w:val="left"/>
      </w:pPr>
      <w:r>
        <w:t>Die Anordnung der Eröffnung erfolgt mit den unter II — IX getroffenen Anordnungen.</w:t>
      </w:r>
    </w:p>
    <w:p>
      <w:pPr>
        <w:spacing w:line="259" w:lineRule="auto" w:after="60"/>
      </w:pPr>
    </w:p>
    <w:p>
      <w:pPr>
        <w:spacing w:line="259" w:lineRule="auto" w:after="60"/>
        <w:jc w:val="left"/>
      </w:pPr>
      <w:r>
        <w:t>gez. Dr. Friederike Henningsen</w:t>
      </w:r>
    </w:p>
    <w:p>
      <w:pPr>
        <w:spacing w:line="259" w:lineRule="auto" w:after="60"/>
        <w:jc w:val="left"/>
      </w:pPr>
      <w:r>
        <w:t>Richterin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