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Schlussbericht und Schlussverteilungs-Antrag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Brinkmann · Hartmann &amp; Kollegen Insolvenzverwalter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Dr. Jens-Peter Hartmann · Hopfenstraße 47 · 24103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das Amtsgericht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Insolvenzabteilung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Deliusstraße 22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24114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Kiel, den 15. März 2024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In dem Insolvenzverfahren</w:t>
      </w:r>
    </w:p>
    <w:p>
      <w:pPr>
        <w:spacing w:line="259" w:lineRule="auto" w:after="60"/>
        <w:jc w:val="left"/>
      </w:pPr>
      <w:r>
        <w:t>Nordlicht Handels GmbH (in Insolvenz), Az. AG Kiel 10 IN 127/13</w:t>
      </w:r>
    </w:p>
    <w:p>
      <w:pPr>
        <w:spacing w:line="259" w:lineRule="auto" w:after="60"/>
        <w:jc w:val="left"/>
      </w:pPr>
      <w:r>
        <w:t>erstatte ich nach Abschluss aller Verwertungs-, Anfechtungs-, Haftungs- und Forderungs-Prüfungs-Maßnahmen folgenden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Schlussbericht</w:t>
      </w:r>
    </w:p>
    <w:p>
      <w:pPr>
        <w:spacing w:line="259" w:lineRule="auto" w:after="60"/>
        <w:jc w:val="left"/>
      </w:pPr>
      <w:r>
        <w:t>mit anliegender Schlussverteilungs-Rechnung.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Verfahrensverlauf — Gesamt-Übersicht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Eigenantrag der Schuldnerin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Verfahrenseröffnung, Bestellung Insolvenzverwalter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15.08.2013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Berichts- und Prüfungstermin (Tabelle festgestellt)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31.08.2013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Stilllegung Geschäftsbetrieb (nach Räumungs-Verkäufen)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05.05.2014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Vergleich Kieler Volksbank eG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18.09.2014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Stefan Berger LG Kiel 1 O 247/14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12.05.2015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Vergleich Stefan Berger (EUR 60.000 in Raten)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Mehrfach 2014–2019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Anfechtungs-Streitigkeiten DAK / IKK; Klagen AG/LG Kiel; Vergleiche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03.04.2017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Eigenantrag Stefan Berger (AG Kiel 11 IK 247/17)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18.10.2018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Eigenantrag Katrin Berger (AG Kiel 11 IK 614/18)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24.07.2020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Eintritt Berger in Treuhand-Periode (gemeinsame Restschuld-Befreiung)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14.05.2022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Berger Restschuld-Befreiung erteilt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28.06.2023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Steuererstattung Finanzamt (Außenprüfung 2008–2012, Erstattung EUR 18.420)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12.10.2023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Nachtragsverteilung-Beschluss AG Kiel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Schluss-Bericht und Schluss-Verteilungs-Antrag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 Gesamtbilanz Verwertung 2013–2024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Einnahmen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Räumungs-Verkäufe Modehaus + Outlet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Restposten-Verkauf Lager-Bestand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 Online-Shop-Domain + Kundenstamm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Verkauf Ladeneinrichtung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aus L+L (Beitreibung)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Vergleich Stefan Berger Haftung (EUR 60.000 in Raten 2014–2018)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 DAK (Vergleich 2015)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 IKK (Vergleich 2015)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Nachtragsverteilung Steuererstattung Finanzamt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Anderkonto (gesamt 11 Jahre)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2.842,00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1.642,00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Einnahmen 2013–2024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306.764,00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2.2 Ausgaben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Stilllegungs-Kosten (Personal, Räumungskosten)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Lager- und Logistik-Kosten 2013/2014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Versicherungen, Steuern, Verbrauchsgebühren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Anwaltskosten externe Beratung (Anfechtungs-Streitigkeiten u.a.)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24.620,00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Sachverständigen-Gutachten (Bilanz-Rekonstruktion, Wertgutachten)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11.840,00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Gerichts- und Verfahrenskosten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Verwalter-Vergütung (gestaffelt nach §§ 1–4 InsVV)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48.420,00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4.220,00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Ausgaben 2013–2024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168.200,00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2.3 Massebestand am Schluss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306.764,00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Ausgaben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-168.200,00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Massebestand 15.03.2024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138.564,00</w:t>
            </w:r>
          </w:p>
        </w:tc>
      </w:tr>
    </w:tbl>
    <w:p>
      <w:pPr>
        <w:spacing w:line="259" w:lineRule="auto" w:after="60"/>
        <w:jc w:val="left"/>
      </w:pPr>
      <w:r>
        <w:t xml:space="preserve">Aus dieser Masse ist eine Schluss-Reserve für Verfahrenskosten Q1/Q2 2024 zu bilden (EUR 8.420) sowie die Restvergütung des Verwalters (EUR 9.682). Verbleibende verteilbare Masse: </w:t>
      </w:r>
      <w:r>
        <w:rPr>
          <w:b/>
        </w:rPr>
        <w:t>EUR 120.462,00.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Forderungstabelle — Endstand</w:t>
      </w:r>
    </w:p>
    <w:p>
      <w:pPr>
        <w:spacing w:line="259" w:lineRule="auto" w:after="60"/>
        <w:jc w:val="left"/>
      </w:pPr>
      <w:r>
        <w:t>Nach Verfahrensabschluss aller Bestreitungs-Verfahren ergibt sich folgender Tabellen-Endstand: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Forderung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Aussonderungs-Berechtigte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Absonderungs-Berechtigte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 (keine im Verfahren)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Masseverbindlichkeiten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bereits aus Masse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Insolvenz-Forderungen (festgestellt)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509.842,00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Kieler Volksbank eG (nach Vergleich)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214.302,00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Fashion Forward KG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23.960,00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DAK-Gesundheit (festgestellt nach Anfechtungs-Vergleich)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12.320,00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IKK Nord (festgestellt nach Anfechtungs-Vergleich)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9.610,00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BA Schleswig-Holstein (Insolvenz-Geld-Forderung cessio legis § 169 SGB III)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84.220,00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Davon Lieferanten und sonstige Gläubiger (insgesamt 39 Anmeldungen)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165.430,00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Insolvenz-Forderungen Rang 4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509.842,00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4. Verteilungs-Berechnung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4.1 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Verteilbare 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120.462,00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Insolvenz-Forderungen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509.842,00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23,63 %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Anmerkung:</w:t>
      </w:r>
      <w:r>
        <w:t xml:space="preserve"> Diese Quote ist die rein rechnerisch berechnete Befriedigungs-Quote auf die festgestellten Insolvenz-Forderungen. Sie liegt deutlich über der zunächst (im 1. Bericht) prognostizierten Quote von 13–14 % — ursächlich für die Steigerung sind insbesondere:</w:t>
      </w:r>
    </w:p>
    <w:p>
      <w:pPr>
        <w:pStyle w:val="ListBullet"/>
        <w:spacing w:line="259" w:lineRule="auto" w:after="60"/>
      </w:pPr>
      <w:r>
        <w:t>der erfolgreiche Vergleich mit Stefan Berger (EUR 60.000 Haftungs-Beitrag, ratenweise eingezahlt 2014–2018)</w:t>
      </w:r>
    </w:p>
    <w:p>
      <w:pPr>
        <w:pStyle w:val="ListBullet"/>
        <w:spacing w:line="259" w:lineRule="auto" w:after="60"/>
      </w:pPr>
      <w:r>
        <w:t>die Nachtragsverteilung der Steuererstattung 2023 (EUR 18.420)</w:t>
      </w:r>
    </w:p>
    <w:p>
      <w:pPr>
        <w:pStyle w:val="ListBullet"/>
        <w:spacing w:line="259" w:lineRule="auto" w:after="60"/>
      </w:pPr>
      <w:r>
        <w:t>die geringeren Verfahrens-Kosten als zunächst geplant</w:t>
      </w:r>
    </w:p>
    <w:p>
      <w:pPr>
        <w:pStyle w:val="ListBullet"/>
        <w:spacing w:line="259" w:lineRule="auto" w:after="60"/>
      </w:pPr>
      <w:r>
        <w:t>die erfolgreichen kleineren Anfechtungs-Vergleiche</w:t>
      </w:r>
    </w:p>
    <w:p>
      <w:pPr>
        <w:spacing w:line="259" w:lineRule="auto" w:after="60"/>
        <w:jc w:val="left"/>
      </w:pPr>
      <w:r>
        <w:t>Diese erhöhte Quote ist allerdings auf eine ungewöhnlich lange Verfahrensdauer von 11 Jahren zurückzuführen (Berger-Eigeninsolvenz und Treuhand-Periode 2017–2022 führten zu Verzögerung der Haftungs-Beitragsabwicklung).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4.2 Quoten-Auszahlung pro Gläubiger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Quote 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Auszahlung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Kieler Volksbank 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214.302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50.640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 Schleswig-Holstein (Insolvenzgeld cessio legis)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84.220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19.901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Fashion Forward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23.960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5.662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DAK-Gesundheit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12.320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2.911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IKK Nord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9.610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2.271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+ sonstige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165.430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23,63 %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39.083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509.842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120.468</w:t>
            </w:r>
          </w:p>
        </w:tc>
      </w:tr>
    </w:tbl>
    <w:p>
      <w:pPr>
        <w:spacing w:line="259" w:lineRule="auto" w:after="60"/>
        <w:jc w:val="left"/>
      </w:pPr>
      <w:r>
        <w:t>(rechnerische Rundung: marginale Differenz aufgrund Quoten-Rundungen je Gläubiger, wird mit Kupfer-Konto ausgeglichen)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Vergütung Insolvenzverwalter — Festsetzungsantrag</w:t>
      </w:r>
    </w:p>
    <w:p>
      <w:pPr>
        <w:spacing w:line="259" w:lineRule="auto" w:after="60"/>
        <w:jc w:val="left"/>
      </w:pPr>
      <w:r>
        <w:t>Gemäß §§ 1 ff. InsVV werden die Vergütungs- und Auslagen-Ansprüche des Insolvenzverwalters festgestellt:</w:t>
      </w:r>
    </w:p>
    <w:p>
      <w:pPr>
        <w:pStyle w:val="ListBullet"/>
        <w:spacing w:line="259" w:lineRule="auto" w:after="60"/>
      </w:pPr>
      <w:r>
        <w:t>Berechnungsgrundlage: Verwertete und ausgekehrte Massewerte iHv ca. EUR 306.764</w:t>
      </w:r>
    </w:p>
    <w:p>
      <w:pPr>
        <w:pStyle w:val="ListBullet"/>
        <w:spacing w:line="259" w:lineRule="auto" w:after="60"/>
      </w:pPr>
      <w:r>
        <w:t>Regel-Vergütung gestaffelt nach § 2 InsVV: ca. EUR 39.420</w:t>
      </w:r>
    </w:p>
    <w:p>
      <w:pPr>
        <w:pStyle w:val="ListBullet"/>
        <w:spacing w:line="259" w:lineRule="auto" w:after="60"/>
      </w:pPr>
      <w:r>
        <w:t>Zuschläge wegen Verfahrensdauer und Komplexität (§ 3 InsVV): ca. EUR 9.000</w:t>
      </w:r>
    </w:p>
    <w:p>
      <w:pPr>
        <w:pStyle w:val="ListBullet"/>
        <w:spacing w:line="259" w:lineRule="auto" w:after="60"/>
      </w:pPr>
      <w:r>
        <w:t>Auslagen-Pauschale (4 %): EUR 1.937</w:t>
      </w:r>
    </w:p>
    <w:p>
      <w:pPr>
        <w:pStyle w:val="ListBullet"/>
        <w:spacing w:line="259" w:lineRule="auto" w:after="60"/>
      </w:pPr>
      <w:r>
        <w:t>USt 19 %: ca. EUR 9.563</w:t>
      </w:r>
    </w:p>
    <w:p>
      <w:pPr>
        <w:pStyle w:val="ListBullet"/>
        <w:spacing w:line="259" w:lineRule="auto" w:after="60"/>
      </w:pPr>
      <w:r>
        <w:rPr>
          <w:b/>
        </w:rPr>
        <w:t>Gesamt-Vergütung:</w:t>
      </w:r>
      <w:r>
        <w:t xml:space="preserve"> EUR 48.420 (über Verfahrensdauer mit Teilfestsetzungen 2018, 2021 und 2024 erstattet)</w:t>
      </w:r>
    </w:p>
    <w:p>
      <w:pPr>
        <w:spacing w:line="259" w:lineRule="auto" w:after="60"/>
        <w:jc w:val="left"/>
      </w:pPr>
      <w:r>
        <w:t>Restbetrag noch ausstehend zum Schluss: EUR 9.682 (Schluss-Festsetzung).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6. Antrag</w:t>
      </w:r>
    </w:p>
    <w:p>
      <w:pPr>
        <w:spacing w:line="259" w:lineRule="auto" w:after="60"/>
        <w:jc w:val="left"/>
      </w:pPr>
      <w:r>
        <w:t>Es wird beantragt:</w:t>
      </w:r>
    </w:p>
    <w:p>
      <w:pPr>
        <w:pStyle w:val="ListNumber"/>
        <w:spacing w:line="259" w:lineRule="auto" w:after="60"/>
      </w:pPr>
      <w:r>
        <w:t>die Schluss-Verteilungs-Rechnung wie vorgelegt zu genehmigen,</w:t>
      </w:r>
    </w:p>
    <w:p>
      <w:pPr>
        <w:pStyle w:val="ListNumber"/>
        <w:spacing w:line="259" w:lineRule="auto" w:after="60"/>
      </w:pPr>
      <w:r>
        <w:t>die Vergütung und Auslagen des Verwalters gemäß Ziffer 5 endgültig festzusetzen und auszuzahlen,</w:t>
      </w:r>
    </w:p>
    <w:p>
      <w:pPr>
        <w:pStyle w:val="ListNumber"/>
        <w:spacing w:line="259" w:lineRule="auto" w:after="60"/>
      </w:pPr>
      <w:r>
        <w:t>den Beteiligten die Möglichkeit der Schluss-Anhörung zu geben (§ 197 InsO),</w:t>
      </w:r>
    </w:p>
    <w:p>
      <w:pPr>
        <w:pStyle w:val="ListNumber"/>
        <w:spacing w:line="259" w:lineRule="auto" w:after="60"/>
      </w:pPr>
      <w:r>
        <w:t>nach Eintritt der Rechtskraft das Verfahren aufzuheben (§ 200 InsO).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7. Schluss-Hinweise</w:t>
      </w:r>
    </w:p>
    <w:p>
      <w:pPr>
        <w:spacing w:line="259" w:lineRule="auto" w:after="60"/>
        <w:jc w:val="left"/>
      </w:pPr>
      <w:r>
        <w:t>Die Schuldnerin (Nordlicht Handels GmbH) wird mit Rechtskraft der Verfahrensaufhebung gemäß § 60 Abs. 1 Nr. 4 GmbHG aufgelöst und im Handelsregister gelöscht.</w:t>
      </w:r>
    </w:p>
    <w:p>
      <w:pPr>
        <w:spacing w:line="259" w:lineRule="auto" w:after="60"/>
        <w:jc w:val="left"/>
      </w:pPr>
      <w:r>
        <w:t>Die Geschäftsführer Stefan und Katrin Berger sind seit ihrer eigenen Restschuld-Befreiung (14.05.2022) zivilrechtlich entlastet, soweit die Insolvenz-Forderungen aus dem hier abgewickelten Verfahren betroffen sind.</w:t>
      </w:r>
    </w:p>
    <w:p>
      <w:pPr>
        <w:spacing w:line="259" w:lineRule="auto" w:after="60"/>
        <w:jc w:val="left"/>
      </w:pPr>
      <w:r>
        <w:t>Das Verfahren der Außenprüfung 2008–2012 (Finanzamt Kiel-Süd) ist abschließend bearbeitet; die Steuererstattung 2023 ist die letzte zu erwartende Position.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Kiel, den 15. März 2024</w:t>
      </w:r>
    </w:p>
    <w:p>
      <w:pPr>
        <w:spacing w:line="259" w:lineRule="auto" w:after="60"/>
        <w:jc w:val="left"/>
      </w:pPr>
      <w:r>
        <w:t>_Dr. Jens-Peter Hartmann_</w:t>
      </w:r>
    </w:p>
    <w:p>
      <w:pPr>
        <w:spacing w:line="259" w:lineRule="auto" w:after="60"/>
        <w:jc w:val="left"/>
      </w:pPr>
      <w:r>
        <w:t>Rechtsanwalt</w:t>
      </w:r>
    </w:p>
    <w:p>
      <w:pPr>
        <w:spacing w:line="259" w:lineRule="auto" w:after="60"/>
        <w:jc w:val="left"/>
      </w:pPr>
      <w:r>
        <w:t>Insolvenzverwalter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Anlagen:</w:t>
      </w:r>
    </w:p>
    <w:p>
      <w:pPr>
        <w:pStyle w:val="ListBullet"/>
        <w:spacing w:line="259" w:lineRule="auto" w:after="60"/>
      </w:pPr>
      <w:r>
        <w:t>S1: Verteilungs-Rechnung detailliert</w:t>
      </w:r>
    </w:p>
    <w:p>
      <w:pPr>
        <w:pStyle w:val="ListBullet"/>
        <w:spacing w:line="259" w:lineRule="auto" w:after="60"/>
      </w:pPr>
      <w:r>
        <w:t>S2: Tabelle Endstand</w:t>
      </w:r>
    </w:p>
    <w:p>
      <w:pPr>
        <w:pStyle w:val="ListBullet"/>
        <w:spacing w:line="259" w:lineRule="auto" w:after="60"/>
      </w:pPr>
      <w:r>
        <w:t>S3: Verwalter-Vergütungs-Antrag (Schluss)</w:t>
      </w:r>
    </w:p>
    <w:p>
      <w:pPr>
        <w:pStyle w:val="ListBullet"/>
        <w:spacing w:line="259" w:lineRule="auto" w:after="60"/>
      </w:pPr>
      <w:r>
        <w:t>S4: Aufstellung Anfechtungs-Vergleiche</w:t>
      </w:r>
    </w:p>
    <w:p>
      <w:pPr>
        <w:pStyle w:val="ListBullet"/>
        <w:spacing w:line="259" w:lineRule="auto" w:after="60"/>
      </w:pPr>
      <w:r>
        <w:t>S5: Aufstellung Haftungs-Vergleich Berger einschließlich Tilgungs-Verlauf</w:t>
      </w:r>
    </w:p>
    <w:p>
      <w:pPr>
        <w:pStyle w:val="ListBullet"/>
        <w:spacing w:line="259" w:lineRule="auto" w:after="60"/>
      </w:pPr>
      <w:r>
        <w:t>S6: Sämtliche turnusmäßige Berichte 2013–2023 in chronologischer Folge (Verweis Akten)</w:t>
      </w:r>
    </w:p>
    <w:p>
      <w:pPr>
        <w:pStyle w:val="ListBullet"/>
        <w:spacing w:line="259" w:lineRule="auto" w:after="60"/>
      </w:pPr>
      <w:r>
        <w:t>S7: Mitteilung an Handelsregister-Gericht zur Auflösung und Löschung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