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Vorschau: 01_veyra_Liquiditaetsplan_24-Monate_Stand-30-04-2026</w:t>
      </w:r>
    </w:p>
    <w:p>
      <w:pPr>
        <w:spacing w:line="259" w:lineRule="auto" w:after="60"/>
        <w:ind w:left="567"/>
      </w:pPr>
      <w:r>
        <w:rPr>
          <w:i/>
        </w:rPr>
        <w:t>Markdown-Vorschau der gleichnamigen XLSX-Datei. Berechnungen, Formeln und Formatierung nur im Original.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Sheet: 24-Monats-Liquiditätsplan</w:t>
      </w:r>
    </w:p>
    <w:p>
      <w:pPr>
        <w:pStyle w:val="Heading3"/>
        <w:spacing w:before="120" w:after="60" w:line="259" w:lineRule="auto"/>
      </w:pPr>
      <w:r>
        <w:rPr>
          <w:rFonts w:ascii="Times New Roman" w:hAnsi="Times New Roman"/>
          <w:b/>
          <w:sz w:val="22"/>
        </w:rPr>
        <w:t>VEYRA AI Foundation gGmbH — 24-Monats-Liquiditätsplan</w:t>
      </w:r>
    </w:p>
    <w:p>
      <w:pPr>
        <w:spacing w:line="259" w:lineRule="auto" w:after="60"/>
        <w:jc w:val="left"/>
      </w:pPr>
      <w:r>
        <w:t>_Stand: 30. April 2026 \| Erstellerin: Dr. Mira Hellinghaus-Karpov \| Az. AG Frankfurt 810 RES 14/26_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_Teil 1: Kurzfristplan Wochen W1–W13 (Mai–Juli 2026)_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c>
          <w:tcPr>
            <w:tcW w:type="dxa" w:w="825"/>
          </w:tcPr>
          <w:p>
            <w:r>
              <w:rPr>
                <w:rFonts w:ascii="Times New Roman" w:hAnsi="Times New Roman"/>
                <w:b/>
                <w:sz w:val="20"/>
              </w:rPr>
              <w:t>Woche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b/>
                <w:sz w:val="20"/>
              </w:rPr>
              <w:t>KW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b/>
                <w:sz w:val="20"/>
              </w:rPr>
              <w:t>Anfangsbestand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b/>
                <w:sz w:val="20"/>
              </w:rPr>
              <w:t>Einzahlungen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b/>
                <w:sz w:val="20"/>
              </w:rPr>
              <w:t>Auszahlungen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b/>
                <w:sz w:val="20"/>
              </w:rPr>
              <w:t>Saldo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b/>
                <w:sz w:val="20"/>
              </w:rPr>
              <w:t>Endbestand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b/>
                <w:sz w:val="20"/>
              </w:rPr>
              <w:t>Ampel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b/>
                <w:sz w:val="20"/>
              </w:rPr>
              <w:t>Spalte 9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b/>
                <w:sz w:val="20"/>
              </w:rPr>
              <w:t>Spalte 10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b/>
                <w:sz w:val="20"/>
              </w:rPr>
              <w:t>Spalte 11</w:t>
            </w:r>
          </w:p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W1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KW 19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830.000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48.000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320.000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-272.000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558.000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W2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KW 20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558.000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22.000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-163.000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395.000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W3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KW 21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395.000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95.000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-90.000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305.000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ROT</w:t>
            </w:r>
          </w:p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W4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KW 22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305.000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195.000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-177.000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128.000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ROT</w:t>
            </w:r>
          </w:p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W5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KW 23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128.000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210.000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30.000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158.000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W6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KW 24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158.000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-170.000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-12.000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ROT!</w:t>
            </w:r>
          </w:p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W7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KW 25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-12.000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380.000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200.000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W8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KW 26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190.000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-178.000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ROT!</w:t>
            </w:r>
          </w:p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W9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KW 27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-170.000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-160.000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ROT!!</w:t>
            </w:r>
          </w:p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W10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KW 28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-160.000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420.000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240.000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ROT</w:t>
            </w:r>
          </w:p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W11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KW 29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-173.000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-93.000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ROT!!</w:t>
            </w:r>
          </w:p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W12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KW 30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-93.000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-170.000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-263.000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ROT!!</w:t>
            </w:r>
          </w:p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W13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KW 31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-263.000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100.000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-163.000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ROT!!</w:t>
            </w:r>
          </w:p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Teil 2: Monatliche Übersicht M4–M24 (August 2026 – April 2028)</w:t>
            </w:r>
          </w:p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Monat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Datum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Anfangsb.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Spenden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EU-Förder.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Sonstige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Personal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GPU/Cloud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Sonst. Ausg.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Netto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Endbestand</w:t>
            </w:r>
          </w:p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M4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Aug 26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-163.000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220.000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118.000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45.000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-95.000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-258.000</w:t>
            </w:r>
          </w:p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M5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Sep 26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-258.000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250.000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118.000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45.000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-65.000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-323.000</w:t>
            </w:r>
          </w:p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M6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Okt 26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-323.000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550.000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118.000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45.000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515.000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192.000</w:t>
            </w:r>
          </w:p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M7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Nov 26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192.000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210.000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118.000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45.000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-105.000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87.000</w:t>
            </w:r>
          </w:p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M8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Dez 26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87.000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320.000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118.000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45.000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92.000</w:t>
            </w:r>
          </w:p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M9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Jan 27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92.000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118.000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45.000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-138.000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-46.000</w:t>
            </w:r>
          </w:p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M10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Feb 27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-46.000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190.000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118.000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45.000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-128.000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-174.000</w:t>
            </w:r>
          </w:p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M11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Mrz 27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-174.000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200.000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118.000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45.000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-118.000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-292.000</w:t>
            </w:r>
          </w:p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M12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Apr 27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-292.000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210.000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550.000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118.000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45.000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442.000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150.000</w:t>
            </w:r>
          </w:p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M13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Mai 27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150.000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118.000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45.000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-133.000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17.000</w:t>
            </w:r>
          </w:p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M14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Jun 27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17.000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170.000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118.000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45.000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-148.000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-131.000</w:t>
            </w:r>
          </w:p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M15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Jul 27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-131.000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160.000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118.000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45.000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-158.000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-289.000</w:t>
            </w:r>
          </w:p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M16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Aug 27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-289.000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155.000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118.000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45.000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-163.000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-452.000</w:t>
            </w:r>
          </w:p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M17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Sep 27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-452.000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150.000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118.000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45.000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-168.000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-620.000</w:t>
            </w:r>
          </w:p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M18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Okt 27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-620.000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160.000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550.000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118.000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45.000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392.000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-228.000</w:t>
            </w:r>
          </w:p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M19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Nov 27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-228.000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170.000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100.000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40.000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-125.000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-353.000</w:t>
            </w:r>
          </w:p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M20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Dez 27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-353.000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100.000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40.000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-368.000</w:t>
            </w:r>
          </w:p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M21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Jan 28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-368.000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160.000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22.000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160.000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35.000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-93.000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-461.000</w:t>
            </w:r>
          </w:p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M22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Feb 28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-461.000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160.000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22.000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160.000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35.000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-93.000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-554.000</w:t>
            </w:r>
          </w:p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M23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Mrz 28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-554.000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160.000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22.000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160.000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35.000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-93.000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-647.000</w:t>
            </w:r>
          </w:p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M24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Apr 28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-647.000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160.000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550.000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22.000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160.000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35.000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457.000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-190.000</w:t>
            </w:r>
          </w:p>
        </w:tc>
      </w:tr>
    </w:tbl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Sheet: Annahmen</w:t>
      </w:r>
    </w:p>
    <w:p>
      <w:pPr>
        <w:pStyle w:val="Heading3"/>
        <w:spacing w:before="120" w:after="60" w:line="259" w:lineRule="auto"/>
      </w:pPr>
      <w:r>
        <w:rPr>
          <w:rFonts w:ascii="Times New Roman" w:hAnsi="Times New Roman"/>
          <w:b/>
          <w:sz w:val="22"/>
        </w:rPr>
        <w:t>Annahmen und Szenarien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Parameter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Basis-Szenario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Stress I (Spenden -40%)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Stress II (Delay +12M)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Spenden p.a.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EUR 2.240.000 (-20%)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EUR 1.680.000 (-40%)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EUR 2.240.000 (-20%)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EU OPENSENS Tranche 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Okt 2026 (M6)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Okt 2026 (M6)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Okt 2027 (M18)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Monat Drohende ZU (§ 18 InsO)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M14 (Jun 2027)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M8 (Dez 2026)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M4 (Aug 2026)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Liquiditätsminimum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-EUR 647.000 (M24)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-EUR 1.120.000 (M15)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Kritisch ab M4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Handlungsbedarf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Erheblich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KRITISCH — Notfallplan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KRITISCH — Sofortmaßnahmen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