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Vorschau: 04_salaltbar_Filialkostenrechnung_2025</w:t>
      </w:r>
    </w:p>
    <w:p>
      <w:pPr>
        <w:spacing w:line="259" w:lineRule="auto" w:after="60"/>
        <w:ind w:left="567"/>
      </w:pPr>
      <w:r>
        <w:rPr>
          <w:i/>
        </w:rPr>
        <w:t>Markdown-Vorschau der gleichnamigen XLSX-Datei. Berechnungen, Formeln und Formatierung nur im Original.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Sheet: Filialübersicht 2025</w:t>
      </w:r>
    </w:p>
    <w:p>
      <w:pPr>
        <w:pStyle w:val="Heading3"/>
        <w:spacing w:before="120" w:after="60" w:line="259" w:lineRule="auto"/>
      </w:pPr>
      <w:r>
        <w:rPr>
          <w:rFonts w:ascii="Times New Roman" w:hAnsi="Times New Roman"/>
          <w:b/>
          <w:sz w:val="22"/>
        </w:rPr>
        <w:t>Salaltbar UG (haftungsbeschränkt) — Filialübersicht 2025</w:t>
      </w:r>
    </w:p>
    <w:p>
      <w:pPr>
        <w:spacing w:line="259" w:lineRule="auto" w:after="60"/>
        <w:jc w:val="left"/>
      </w:pPr>
      <w:r>
        <w:t>_Az. intern: CW-2026-SALALTBAR \| Daten aus Kassensystem, noch nicht testiert \| Stand: 2. Mai 2026_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Filiale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Adresse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Eröffnung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Umsatz (EUR)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Miete p.a. (EUR)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Wareneinsatz (EUR)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Personal (EUR)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Sonst. Kosten (EUR)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Filial-EBIT (EUR)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Hermannplatz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Hermannpl. 14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Mrz. 2021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320.000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42.000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102.400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88.000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18.000</w:t>
            </w:r>
          </w:p>
        </w:tc>
        <w:tc>
          <w:tcPr>
            <w:tcW w:type="dxa" w:w="907"/>
          </w:tcPr>
          <w:p/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RENTABEL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Boddinstraße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Boddinstr. 27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Aug. 2022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230.000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36.000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73.600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64.000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907"/>
          </w:tcPr>
          <w:p/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RENTABEL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Sonnenallee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Sonnenallee 89b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Jan. 2024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132.000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62.400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42.200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52.000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9.800</w:t>
            </w:r>
          </w:p>
        </w:tc>
        <w:tc>
          <w:tcPr>
            <w:tcW w:type="dxa" w:w="907"/>
          </w:tcPr>
          <w:p/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VERLUST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Overhead/HQ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32.000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45.000</w:t>
            </w:r>
          </w:p>
        </w:tc>
        <w:tc>
          <w:tcPr>
            <w:tcW w:type="dxa" w:w="907"/>
          </w:tcPr>
          <w:p/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(Kopfkosten)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GESAMT</w:t>
            </w:r>
          </w:p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Anmerkungen:</w:t>
            </w:r>
          </w:p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• Sonnenallee-Filiale: Mieterhöhung +40 % ab Jan. 2024 (EUR 3.700 auf EUR 5.200/Monat). Kein Sonderkündigungsrecht. Vertragslaufzeit bis Dez. 2027.</w:t>
            </w:r>
          </w:p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• Jahresverlust gesamt 2025 (inkl. Overhead): ca. EUR –89.000 (geschätzt, nicht testiert).</w:t>
            </w:r>
          </w:p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• Kassenbestand 01.05.2026: EUR 3.400. Reichweite ca. 11 Tage.</w:t>
            </w:r>
          </w:p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</w:tr>
    </w:tbl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Sheet: Verbindlichkeiten</w:t>
      </w:r>
    </w:p>
    <w:p>
      <w:pPr>
        <w:pStyle w:val="Heading3"/>
        <w:spacing w:before="120" w:after="60" w:line="259" w:lineRule="auto"/>
      </w:pPr>
      <w:r>
        <w:rPr>
          <w:rFonts w:ascii="Times New Roman" w:hAnsi="Times New Roman"/>
          <w:b/>
          <w:sz w:val="22"/>
        </w:rPr>
        <w:t>Fällige Verbindlichkeiten — Stand 01.05.2026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Gläubiger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Vermieter Sonnenallee (Jörn Feddersen-Kwiatke)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Mietrückstand 4 Monate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18.400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Fristlose Kündigung angedroht bis 05.05.2026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Frische-Kontor Berlin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Lieferantenforderung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12.800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Lieferstopp bis Zahlung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Finanzamt Berlin-Neukölln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Umsatzsteuer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8.900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Mahnbescheid angekündigt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Sonstige Lieferanten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Diverses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3.200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Im Verzug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GESAMT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43.300</w:t>
            </w:r>
          </w:p>
        </w:tc>
        <w:tc>
          <w:tcPr>
            <w:tcW w:type="dxa" w:w="2268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