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Akte Rotorwerk: Maschinenleasing, Restwert und Insolvenzgerücht</w:t>
      </w:r>
    </w:p>
    <w:p>
      <w:pPr>
        <w:spacing w:line="259" w:lineRule="auto" w:after="60"/>
      </w:pPr>
      <w:r>
        <w:t>Leasingakte mit Dreiecksverhältnis, Mangel, Restwert, Refinanzierung und Insolvenzrisiko.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Ein Maschinenbauer least zwölf CNC-Anlagen; drei stehen wege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Der Leasinggeber droht Kündigung wegen Zahlungsverzugs, obwo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Die Restwertgarantie ist hoch; der Marktpreis ist eingebroch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p>
      <w:pPr>
        <w:pStyle w:val="Heading2"/>
        <w:spacing w:line="259" w:lineRule="auto" w:after="60"/>
      </w:pPr>
      <w:r>
        <w:t>Ein Sale-and-lease-back wurde sechs Monate vor Krise abgesch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p>
      <w:pPr>
        <w:pStyle w:val="Heading2"/>
        <w:spacing w:line="259" w:lineRule="auto" w:after="60"/>
      </w:pPr>
      <w:r>
        <w:t>Die finanzierende Bank will Forderungen und Sicherheiten ver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p>
      <w:pPr>
        <w:pStyle w:val="Heading2"/>
        <w:spacing w:line="259" w:lineRule="auto" w:after="60"/>
      </w:pPr>
      <w:r>
        <w:t>Gerüchte über Insolvenzantrag machen Fortführung und Herausg</w:t>
      </w:r>
    </w:p>
    <w:p>
      <w:pPr>
        <w:spacing w:line="259" w:lineRule="auto" w:after="60"/>
      </w:pPr>
      <w:r>
        <w:t>Arbeitsvermerk: Unterlage, Rechtsfrage, Beweisrisiko und nächster Schritt trennen. Keine Fundstelle ohne Prüfung übernehmen.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