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Objektliste Seriennummern und Standorte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Objekt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Seriennummer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Standort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Nutzer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Zustand laut Leasingnehmer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Streitpunkt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CNC-Fräse RX-900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RX900-23-1188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Werk 1 Halle 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Linie Kurbelgehäuse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Spindel vibriert, Software stoppt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Mangel oder Bedienfehler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Laserzelle LX-44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LX44-24-0091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Werk 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Prototypenbau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Schutzglas gerissen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Versicherungsfall oder Verschleiß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Messarm Q-Scan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QS-118-2024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Qualitätssicherung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drei Nutzer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Kalibrierung abgelaufen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Wartungspflicht unklar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Stapler E-Drive 3t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ED3-2025-77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Außenlager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Logistik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Akku unter 60 Prozent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normaler Kapazitätsverlust?</w:t>
            </w:r>
          </w:p>
        </w:tc>
      </w:tr>
    </w:tbl>
    <w:p>
      <w:pPr>
        <w:spacing w:line="259" w:lineRule="auto" w:after="60"/>
        <w:jc w:val="left"/>
      </w:pPr>
      <w:r>
        <w:t>Die Liste ist nicht vollständig. Zwei mobile Geräte wurden laut Vorarbeiter auf eine Baustelle nach Tschechien verbracht; die Leasinggeberin bestreitet eine Zustimmung zum Auslandseinsatz.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