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Software-Lock und Datenlöschung</w:t>
      </w:r>
    </w:p>
    <w:p>
      <w:pPr>
        <w:spacing w:line="259" w:lineRule="auto" w:after="60"/>
        <w:jc w:val="left"/>
      </w:pPr>
      <w:r>
        <w:t>Die Maschinensteuerung läuft über ein Lizenzkonto des Lieferanten. Seit Zahlungsverzug erscheint beim Start ein Hinweis: "Remote service status restricted". Die Produktion stoppt nicht vollständig, aber Diagnosefunktionen sind blockiert.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Rechtsfragen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Ist der Software-Lock Teil des Leasingobjekts oder eigenständiger Lizenzvertrag?</w:t>
      </w:r>
    </w:p>
    <w:p>
      <w:pPr>
        <w:pStyle w:val="ListBullet"/>
        <w:spacing w:line="259" w:lineRule="auto" w:after="60"/>
      </w:pPr>
      <w:r>
        <w:t>Darf der Lieferant Funktionen sperren, wenn Leasingraten gegenüber dem Leasinggeber offen sind?</w:t>
      </w:r>
    </w:p>
    <w:p>
      <w:pPr>
        <w:pStyle w:val="ListBullet"/>
        <w:spacing w:line="259" w:lineRule="auto" w:after="60"/>
      </w:pPr>
      <w:r>
        <w:t>Wer muss vor Rückgabe Produktionsdaten, personenbezogene Bedienerprofile und Rezepturdaten löschen?</w:t>
      </w:r>
    </w:p>
    <w:p>
      <w:pPr>
        <w:pStyle w:val="ListBullet"/>
        <w:spacing w:line="259" w:lineRule="auto" w:after="60"/>
      </w:pPr>
      <w:r>
        <w:t>Muss ein Löschzertifikat erstellt werden, obwohl die Maschine weiterhin beweissicher untersucht werden soll?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Praktische Gefahr</w:t>
      </w:r>
    </w:p>
    <w:p>
      <w:pPr>
        <w:spacing w:line="259" w:lineRule="auto" w:after="60"/>
        <w:jc w:val="left"/>
      </w:pPr>
      <w:r>
        <w:t>Eine vorschnelle Datenlöschung kann Beweise zerstören. Eine unterlassene Löschung kann Geschäftsgeheimnisse, personenbezogene Daten und Kundendaten offenlegen.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