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Sachverhalt und Aktenkern</w:t>
      </w:r>
    </w:p>
    <w:p>
      <w:pPr>
        <w:spacing w:line="259" w:lineRule="auto" w:after="60"/>
        <w:jc w:val="left"/>
      </w:pPr>
      <w:r>
        <w:t>Luftrechtsakte: Airline-Krise, Flugzeugpfandrecht, LBA, Flughafen-Slot, LuftSiG, Pfändung und Leasing-Closing.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Beteiligte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Antragstellerin/Mandantin: Dr. Marlene Auenfeld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Gegenseite/Behörde: je nach Plugin zuständige Fachbehörde oder privater Akteur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 w:val="0"/>
          <w:i w:val="0"/>
          <w:sz w:val="22"/>
        </w:rPr>
        <w:t>Bearbeiter: Referat Recht und Strategie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Problemkern</w:t>
      </w:r>
    </w:p>
    <w:p>
      <w:pPr>
        <w:spacing w:line="259" w:lineRule="auto" w:after="60"/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Offene Punkte</w:t>
      </w:r>
    </w:p>
    <w:p>
      <w:pPr>
        <w:pStyle w:val="ListNumber"/>
        <w:spacing w:line="259" w:lineRule="auto" w:after="60"/>
      </w:pPr>
      <w:r>
        <w:t>Rechtsgrundlage live prüfen.</w:t>
      </w:r>
    </w:p>
    <w:p>
      <w:pPr>
        <w:pStyle w:val="ListNumber"/>
        <w:spacing w:line="259" w:lineRule="auto" w:after="60"/>
      </w:pPr>
      <w:r>
        <w:t>Zuständigkeit und Rechtsweg festlegen.</w:t>
      </w:r>
    </w:p>
    <w:p>
      <w:pPr>
        <w:pStyle w:val="ListNumber"/>
        <w:spacing w:line="259" w:lineRule="auto" w:after="60"/>
      </w:pPr>
      <w:r>
        <w:t>Fristen und Gebühren/Kosten in den Tracker übernehmen.</w:t>
      </w:r>
    </w:p>
    <w:p>
      <w:pPr>
        <w:pStyle w:val="ListNumber"/>
        <w:spacing w:line="259" w:lineRule="auto" w:after="60"/>
      </w:pPr>
      <w:r>
        <w:t>Nächsten Schriftsatz oder Antrag erzeugen.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