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Arbeitsvermerk Luftrecht und Flughafenrecht</w:t>
      </w:r>
    </w:p>
    <w:p>
      <w:pPr>
        <w:spacing w:line="259" w:lineRule="auto" w:after="60"/>
      </w:pPr>
      <w:r>
        <w:t>Luftrechtsakte: Airline-Krise, Flugzeugpfandrecht, LBA, Flughafen-Slot, LuftSiG, Pfändung und Leasing-Closing.</w:t>
      </w:r>
    </w:p>
    <w:p>
      <w:pPr>
        <w:spacing w:line="259" w:lineRule="auto" w:after="60"/>
      </w:pPr>
      <w:r>
        <w:t>Der Vermerk trennt Sachverhalt, Rechtsgrundlage, Zuständigkeit, Frist, Kostenrisiko, Beweisbedarf und nächsten Schritt.</w:t>
      </w:r>
    </w:p>
    <w:p>
      <w:pPr>
        <w:spacing w:line="259" w:lineRule="auto" w:after="60"/>
      </w:pPr>
      <w:r>
        <w:t>Rechtsstand, Rechtsprechung und Behördenpraxis sind vor produktiver Nutzung live zu prüfen.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