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auf Rücknahme des Insolvenzantrags</w:t>
      </w:r>
    </w:p>
    <w:p>
      <w:pPr>
        <w:spacing w:before="120" w:after="60" w:line="259" w:lineRule="auto"/>
        <w:jc w:val="left"/>
      </w:pPr>
      <w:r>
        <w:rPr>
          <w:rFonts w:ascii="Times New Roman" w:hAnsi="Times New Roman"/>
          <w:b/>
          <w:sz w:val="22"/>
        </w:rPr>
        <w:t>Sebastian Richter</w:t>
      </w:r>
    </w:p>
    <w:p>
      <w:pPr>
        <w:spacing w:before="120" w:after="60" w:line="259" w:lineRule="auto"/>
        <w:jc w:val="left"/>
      </w:pPr>
      <w:r>
        <w:rPr>
          <w:rFonts w:ascii="Times New Roman" w:hAnsi="Times New Roman"/>
          <w:b/>
          <w:sz w:val="22"/>
        </w:rPr>
        <w:t>Geschäftsführer der LUMEN Studios GmbH</w:t>
      </w:r>
    </w:p>
    <w:p>
      <w:pPr>
        <w:spacing w:before="120" w:after="60" w:line="259" w:lineRule="auto"/>
        <w:jc w:val="left"/>
      </w:pPr>
      <w:r>
        <w:rPr>
          <w:rFonts w:ascii="Times New Roman" w:hAnsi="Times New Roman"/>
          <w:b/>
          <w:sz w:val="22"/>
        </w:rPr>
        <w:t>Goethestraße 18 · 60313 Frankfurt am Main</w:t>
      </w:r>
    </w:p>
    <w:p>
      <w:pPr>
        <w:spacing w:before="120" w:after="60" w:line="259" w:lineRule="auto"/>
        <w:jc w:val="left"/>
      </w:pPr>
      <w:r>
        <w:rPr>
          <w:rFonts w:ascii="Times New Roman" w:hAnsi="Times New Roman"/>
          <w:b/>
          <w:sz w:val="22"/>
        </w:rPr>
        <w:t>geboren 07.05.1986 · Wohnsitz Frankfurt am Main, Westendstraße 47</w:t>
      </w:r>
    </w:p>
    <w:p>
      <w:pPr>
        <w:spacing w:before="120" w:after="60" w:line="259" w:lineRule="auto"/>
        <w:jc w:val="left"/>
      </w:pPr>
      <w:r>
        <w:rPr>
          <w:rFonts w:ascii="Times New Roman" w:hAnsi="Times New Roman"/>
          <w:b/>
          <w:sz w:val="22"/>
        </w:rPr>
        <w:t>An das Amtsgericht Frankfurt am Main</w:t>
      </w:r>
    </w:p>
    <w:p>
      <w:pPr>
        <w:spacing w:before="120" w:after="60" w:line="259" w:lineRule="auto"/>
        <w:jc w:val="left"/>
      </w:pPr>
      <w:r>
        <w:rPr>
          <w:rFonts w:ascii="Times New Roman" w:hAnsi="Times New Roman"/>
          <w:b/>
          <w:sz w:val="22"/>
        </w:rPr>
        <w:t>— Insolvenzabteilung —</w:t>
      </w:r>
    </w:p>
    <w:p>
      <w:pPr>
        <w:spacing w:before="120" w:after="60" w:line="259" w:lineRule="auto"/>
        <w:jc w:val="left"/>
      </w:pPr>
      <w:r>
        <w:rPr>
          <w:rFonts w:ascii="Times New Roman" w:hAnsi="Times New Roman"/>
          <w:b/>
          <w:sz w:val="22"/>
        </w:rPr>
        <w:t>Klingerstraße 20</w:t>
      </w:r>
    </w:p>
    <w:p>
      <w:pPr>
        <w:spacing w:line="259" w:lineRule="auto" w:after="60"/>
        <w:jc w:val="left"/>
      </w:pPr>
      <w:r>
        <w:t>60313 Frankfurt am Main</w:t>
      </w:r>
    </w:p>
    <w:p>
      <w:pPr>
        <w:spacing w:line="259" w:lineRule="auto" w:after="60"/>
        <w:jc w:val="left"/>
      </w:pPr>
      <w:r>
        <w:t>per Fax voraus 22.05.2024 14:36, im Original eingegangen 23.05.2024</w:t>
      </w:r>
    </w:p>
    <w:p>
      <w:pPr>
        <w:spacing w:line="259" w:lineRule="auto" w:after="60"/>
        <w:jc w:val="left"/>
      </w:pPr>
      <w:r>
        <w:t>Aktenzeichen: 810 IN 245/24 (folgt zur Verfügung)</w:t>
      </w:r>
    </w:p>
    <w:p>
      <w:pPr>
        <w:spacing w:line="259" w:lineRule="auto" w:after="60"/>
      </w:pPr>
    </w:p>
    <w:p>
      <w:pPr>
        <w:pStyle w:val="Heading2"/>
        <w:spacing w:line="259" w:lineRule="auto" w:after="60"/>
      </w:pPr>
      <w:r>
        <w:rPr>
          <w:rFonts w:ascii="Times New Roman" w:hAnsi="Times New Roman"/>
        </w:rPr>
        <w:t>Antrag</w:t>
      </w:r>
    </w:p>
    <w:p>
      <w:pPr>
        <w:spacing w:line="259" w:lineRule="auto" w:after="60"/>
        <w:jc w:val="left"/>
      </w:pPr>
      <w:r>
        <w:t>In meiner Eigenschaft als Geschäftsführer der</w:t>
      </w:r>
    </w:p>
    <w:p>
      <w:pPr>
        <w:spacing w:line="259" w:lineRule="auto" w:after="60"/>
        <w:jc w:val="left"/>
      </w:pPr>
      <w:r>
        <w:rPr>
          <w:b/>
        </w:rPr>
        <w:t>LUMEN Studios GmbH</w:t>
      </w:r>
    </w:p>
    <w:p>
      <w:pPr>
        <w:spacing w:line="259" w:lineRule="auto" w:after="60"/>
        <w:jc w:val="left"/>
      </w:pPr>
      <w:r>
        <w:t>Goethestraße 18, 60313 Frankfurt am Main, HRB 119845</w:t>
      </w:r>
    </w:p>
    <w:p>
      <w:pPr>
        <w:spacing w:line="259" w:lineRule="auto" w:after="60"/>
        <w:jc w:val="left"/>
      </w:pPr>
      <w:r>
        <w:t>beantrage ich</w:t>
      </w:r>
    </w:p>
    <w:p>
      <w:pPr>
        <w:spacing w:line="259" w:lineRule="auto" w:after="60"/>
        <w:jc w:val="left"/>
      </w:pPr>
      <w:r>
        <w:rPr>
          <w:b/>
        </w:rPr>
        <w:t>die Rücknahme bzw. Zurückweisung des Insolvenzantrags meines Mitgesellschafters und Mitgeschäftsführers Florian Weber vom 22.05.2024.</w:t>
      </w:r>
    </w:p>
    <w:p>
      <w:pPr>
        <w:pStyle w:val="Heading2"/>
        <w:spacing w:line="259" w:lineRule="auto" w:after="60"/>
      </w:pPr>
      <w:r>
        <w:rPr>
          <w:rFonts w:ascii="Times New Roman" w:hAnsi="Times New Roman"/>
        </w:rPr>
        <w:t>Begründung</w:t>
      </w:r>
    </w:p>
    <w:p>
      <w:pPr>
        <w:pStyle w:val="Heading3"/>
        <w:spacing w:line="259" w:lineRule="auto" w:after="60"/>
      </w:pPr>
      <w:r>
        <w:rPr>
          <w:rFonts w:ascii="Times New Roman" w:hAnsi="Times New Roman"/>
        </w:rPr>
        <w:t>1. Antragsbefugnis Herr Weber</w:t>
      </w:r>
    </w:p>
    <w:p>
      <w:pPr>
        <w:spacing w:line="259" w:lineRule="auto" w:after="60"/>
        <w:jc w:val="left"/>
      </w:pPr>
      <w:r>
        <w:t>Herr Florian Weber ist zwar Mit-Geschäftsführer und zur Einzelvertretung berechtigt. Gemäß § 15 Abs. 1 Satz 2 InsO ist jeder Geschäftsführer für sich antragsberechtigt. Das räume ich ein.</w:t>
      </w:r>
    </w:p>
    <w:p>
      <w:pPr>
        <w:pStyle w:val="Heading3"/>
        <w:spacing w:line="259" w:lineRule="auto" w:after="60"/>
      </w:pPr>
      <w:r>
        <w:rPr>
          <w:rFonts w:ascii="Times New Roman" w:hAnsi="Times New Roman"/>
        </w:rPr>
        <w:t>2. Tatsächliche Lage</w:t>
      </w:r>
    </w:p>
    <w:p>
      <w:pPr>
        <w:spacing w:line="259" w:lineRule="auto" w:after="60"/>
        <w:jc w:val="left"/>
      </w:pPr>
      <w:r>
        <w:t xml:space="preserve">Die von Herrn Weber dargestellte Liquiditätslage trifft im Kern zu; ich bestreite nicht, dass die Gesellschaft erhebliche Zahlungsrückstände hat. Ich bestreite jedoch ausdrücklich, dass eine </w:t>
      </w:r>
      <w:r>
        <w:rPr>
          <w:b/>
        </w:rPr>
        <w:t>dauerhafte</w:t>
      </w:r>
      <w:r>
        <w:t xml:space="preserve"> Zahlungsunfähigkeit im Sinne von § 17 InsO vorliegt.</w:t>
      </w:r>
    </w:p>
    <w:p>
      <w:pPr>
        <w:spacing w:line="259" w:lineRule="auto" w:after="60"/>
        <w:jc w:val="left"/>
      </w:pPr>
      <w:r>
        <w:t>Konkret kann ich folgendes vortragen:</w:t>
      </w:r>
    </w:p>
    <w:p>
      <w:pPr>
        <w:pStyle w:val="ListBullet"/>
        <w:spacing w:line="259" w:lineRule="auto" w:after="60"/>
      </w:pPr>
      <w:r>
        <w:t>Ich befinde mich in Verhandlung mit einem Investor (Herrn Dr. Lorenz Petersen, Petersen Family Office GmbH, Frankfurt am Main), der eine Beteiligungs- und Darlehens-Vereinbarung mit Eigenkapital iHv EUR 150.000 in Aussicht gestellt hat. Erstes Gespräch fand am 14.05.2024 statt; ein Term Sheet wird bis 30.05.2024 erwartet.</w:t>
      </w:r>
    </w:p>
    <w:p>
      <w:pPr>
        <w:pStyle w:val="ListBullet"/>
        <w:spacing w:line="259" w:lineRule="auto" w:after="60"/>
      </w:pPr>
      <w:r>
        <w:t>Eine Stundungs-Vereinbarung mit dem Finanzamt Frankfurt I ist nach erster Vorab-Klärung mit Sachbearbeiterin Frau Wendler (FA Frankfurt I, Telefon 069 / 256-3811) möglich, sobald ein Sanierungskonzept vorliegt. Ich plane die Erstellung dieses Konzepts bis 15.06.2024.</w:t>
      </w:r>
    </w:p>
    <w:p>
      <w:pPr>
        <w:pStyle w:val="ListBullet"/>
        <w:spacing w:line="259" w:lineRule="auto" w:after="60"/>
      </w:pPr>
      <w:r>
        <w:t>Mit der Sparkasse Frankfurt (Firmenkundenbetreuer Herr Hagen-Schwarz) habe ich eine vorläufige Stillhalte-Vereinbarung bis 30.06.2024 verhandelt, vorbehaltlich Vorlage eines Sanierungskonzepts.</w:t>
      </w:r>
    </w:p>
    <w:p>
      <w:pPr>
        <w:pStyle w:val="Heading3"/>
        <w:spacing w:line="259" w:lineRule="auto" w:after="60"/>
      </w:pPr>
      <w:r>
        <w:rPr>
          <w:rFonts w:ascii="Times New Roman" w:hAnsi="Times New Roman"/>
        </w:rPr>
        <w:t>3. Innengesellschaftlicher Konflikt</w:t>
      </w:r>
    </w:p>
    <w:p>
      <w:pPr>
        <w:spacing w:line="259" w:lineRule="auto" w:after="60"/>
        <w:jc w:val="left"/>
      </w:pPr>
      <w:r>
        <w:t>Herr Weber und ich sind seit Februar 2024 zerstritten. Herr Weber wirft mir vor, die Buchhaltung vernachlässigt zu haben. Diese Vorwürfe sind aus meiner Sicht zumindest teilweise unbegründet; sie übersehen die schlechte Auftragslage, die Herr Weber kreativ zu verantworten hat (Ausbleiben mehrerer Großaufträge, die er als Kreativ-Direktor zu akquirieren hätte).</w:t>
      </w:r>
    </w:p>
    <w:p>
      <w:pPr>
        <w:spacing w:line="259" w:lineRule="auto" w:after="60"/>
        <w:jc w:val="left"/>
      </w:pPr>
      <w:r>
        <w:t>Es ist daher zu befürchten, dass Herr Weber den Insolvenzantrag nicht primär aus betriebswirtschaftlicher Verantwortung, sondern als Druckmittel im Gesellschafter-Streit stellt. Eine Eröffnung des Insolvenzverfahrens würde meine Sanierungs-Verhandlungen ausgrenzen und die Gesellschaft zwingend in die Liquidation drängen, obwohl eine Sanierung möglich erscheint.</w:t>
      </w:r>
    </w:p>
    <w:p>
      <w:pPr>
        <w:pStyle w:val="Heading3"/>
        <w:spacing w:line="259" w:lineRule="auto" w:after="60"/>
      </w:pPr>
      <w:r>
        <w:rPr>
          <w:rFonts w:ascii="Times New Roman" w:hAnsi="Times New Roman"/>
        </w:rPr>
        <w:t>4. Antrag</w:t>
      </w:r>
    </w:p>
    <w:p>
      <w:pPr>
        <w:spacing w:line="259" w:lineRule="auto" w:after="60"/>
        <w:jc w:val="left"/>
      </w:pPr>
      <w:r>
        <w:t>Ich beantrage daher,</w:t>
      </w:r>
    </w:p>
    <w:p>
      <w:pPr>
        <w:spacing w:line="259" w:lineRule="auto" w:after="60"/>
        <w:jc w:val="left"/>
      </w:pPr>
      <w:r>
        <w:t>a) den Antrag des Herrn Weber zurückzuweisen oder hilfsweise</w:t>
      </w:r>
    </w:p>
    <w:p>
      <w:pPr>
        <w:spacing w:line="259" w:lineRule="auto" w:after="60"/>
        <w:jc w:val="left"/>
      </w:pPr>
      <w:r>
        <w:t>b) die Antragsbearbeitung um vier Wochen auszusetzen, damit das laufende Investorengespräch und die Stundungs-Verhandlungen abgeschlossen werden können.</w:t>
      </w:r>
    </w:p>
    <w:p>
      <w:pPr>
        <w:spacing w:line="259" w:lineRule="auto" w:after="60"/>
        <w:jc w:val="left"/>
      </w:pPr>
      <w:r>
        <w:t>Hilfsweise rege ich an, dass das Gericht zunächst die vorläufige Insolvenzverwaltung mit "schwacher" Ausgestaltung (Zustimmungsvorbehalt) anordnet, damit die laufenden Verhandlungen nicht abgeschnitten werden, sondern unter Aufsicht eines vorläufigen Insolvenzverwalters fortgeführt werden können.</w:t>
      </w:r>
    </w:p>
    <w:p>
      <w:pPr>
        <w:pStyle w:val="Heading3"/>
        <w:spacing w:line="259" w:lineRule="auto" w:after="60"/>
      </w:pPr>
      <w:r>
        <w:rPr>
          <w:rFonts w:ascii="Times New Roman" w:hAnsi="Times New Roman"/>
        </w:rPr>
        <w:t>5. Anlagen</w:t>
      </w:r>
    </w:p>
    <w:p>
      <w:pPr>
        <w:pStyle w:val="ListBullet"/>
        <w:spacing w:line="259" w:lineRule="auto" w:after="60"/>
      </w:pPr>
      <w:r>
        <w:t>Anl. R1: E-Mail-Verkehr mit Dr. Petersen (14./20./21.05.2024)</w:t>
      </w:r>
    </w:p>
    <w:p>
      <w:pPr>
        <w:pStyle w:val="ListBullet"/>
        <w:spacing w:line="259" w:lineRule="auto" w:after="60"/>
      </w:pPr>
      <w:r>
        <w:t>Anl. R2: Aktennotiz Gespräch mit FA Frankfurt I, Frau Wendler, 16.05.2024</w:t>
      </w:r>
    </w:p>
    <w:p>
      <w:pPr>
        <w:pStyle w:val="ListBullet"/>
        <w:spacing w:line="259" w:lineRule="auto" w:after="60"/>
      </w:pPr>
      <w:r>
        <w:t>Anl. R3: E-Mail Hagen-Schwarz (Sparkasse Frankfurt) vom 17.05.2024 zur vorläufigen Stillhalte</w:t>
      </w:r>
    </w:p>
    <w:p>
      <w:pPr>
        <w:pStyle w:val="ListBullet"/>
        <w:spacing w:line="259" w:lineRule="auto" w:after="60"/>
      </w:pPr>
      <w:r>
        <w:t>Anl. R4: Eigenes Aktiv-Passiv-Verzeichnis Stand 20.05.2024 (von mir erstellt)</w:t>
      </w:r>
    </w:p>
    <w:p>
      <w:pPr>
        <w:spacing w:line="259" w:lineRule="auto" w:after="60"/>
        <w:jc w:val="left"/>
      </w:pPr>
      <w:r>
        <w:t>Frankfurt am Main, den 22.05.2024</w:t>
      </w:r>
    </w:p>
    <w:p>
      <w:pPr>
        <w:spacing w:line="259" w:lineRule="auto" w:after="60"/>
        <w:jc w:val="left"/>
      </w:pPr>
      <w:r>
        <w:t>_Sebastian Richter_</w:t>
      </w:r>
    </w:p>
    <w:p>
      <w:pPr>
        <w:spacing w:line="259" w:lineRule="auto" w:after="60"/>
        <w:jc w:val="left"/>
      </w:pPr>
      <w:r>
        <w:t>Geschäftsführer LUMEN Studios GmbH</w:t>
      </w:r>
    </w:p>
    <w:p>
      <w:pPr>
        <w:spacing w:line="259" w:lineRule="auto" w:after="60"/>
      </w:pPr>
    </w:p>
    <w:p>
      <w:pPr>
        <w:spacing w:line="259" w:lineRule="auto" w:after="60"/>
        <w:jc w:val="left"/>
      </w:pPr>
      <w:r>
        <w:rPr>
          <w:b/>
        </w:rPr>
        <w:t>Hinweis Geschäftsstelle:</w:t>
      </w:r>
    </w:p>
    <w:p>
      <w:pPr>
        <w:spacing w:line="259" w:lineRule="auto" w:after="60"/>
        <w:jc w:val="left"/>
      </w:pPr>
      <w:r>
        <w:t xml:space="preserve">Bei diesem Antrag handelt es sich rechtlich nicht um eine "Rücknahme" — der Antrag des Mitgeschäftsführers Weber kann von Herrn Richter nicht zurückgenommen werden (§ 15 Abs. 1 InsO; jeder GF einzeln antragsberechtigt). Der Antrag wird daher als </w:t>
      </w:r>
      <w:r>
        <w:rPr>
          <w:b/>
        </w:rPr>
        <w:t>Stellungnahme im Eröffnungsverfahren</w:t>
      </w:r>
      <w:r>
        <w:t xml:space="preserve"> behandelt und mit Verfügung vom 23.05.2024 dem zu bestellenden vorläufigen Insolvenzverwalter zur Kenntnis gegeben.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