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 Anordnung vorläufige Insolvenzverwaltung</w:t>
      </w:r>
    </w:p>
    <w:p>
      <w:pPr>
        <w:spacing w:before="120" w:after="60" w:line="259" w:lineRule="auto"/>
        <w:jc w:val="left"/>
      </w:pPr>
      <w:r>
        <w:rPr>
          <w:rFonts w:ascii="Times New Roman" w:hAnsi="Times New Roman"/>
          <w:b/>
          <w:sz w:val="22"/>
        </w:rPr>
        <w:t>Amtsgericht Frankfurt am Main</w:t>
      </w:r>
    </w:p>
    <w:p>
      <w:pPr>
        <w:spacing w:before="120" w:after="60" w:line="259" w:lineRule="auto"/>
        <w:jc w:val="left"/>
      </w:pPr>
      <w:r>
        <w:rPr>
          <w:rFonts w:ascii="Times New Roman" w:hAnsi="Times New Roman"/>
          <w:b/>
          <w:sz w:val="22"/>
        </w:rPr>
        <w:t>— Insolvenzabteilung —</w:t>
      </w:r>
    </w:p>
    <w:p>
      <w:pPr>
        <w:spacing w:before="120" w:after="60" w:line="259" w:lineRule="auto"/>
        <w:jc w:val="left"/>
      </w:pPr>
      <w:r>
        <w:rPr>
          <w:rFonts w:ascii="Times New Roman" w:hAnsi="Times New Roman"/>
          <w:b/>
          <w:sz w:val="22"/>
        </w:rPr>
        <w:t>Klingerstraße 20</w:t>
      </w:r>
    </w:p>
    <w:p>
      <w:pPr>
        <w:spacing w:before="120" w:after="60" w:line="259" w:lineRule="auto"/>
        <w:jc w:val="left"/>
      </w:pPr>
      <w:r>
        <w:rPr>
          <w:rFonts w:ascii="Times New Roman" w:hAnsi="Times New Roman"/>
          <w:b/>
          <w:sz w:val="22"/>
        </w:rPr>
        <w:t>60313 Frankfurt am Main</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810 IN 245/24</w:t>
      </w:r>
    </w:p>
    <w:p>
      <w:pPr>
        <w:spacing w:before="120" w:after="60" w:line="259" w:lineRule="auto"/>
        <w:jc w:val="left"/>
      </w:pPr>
      <w:r>
        <w:rPr>
          <w:rFonts w:ascii="Times New Roman" w:hAnsi="Times New Roman"/>
          <w:b/>
          <w:sz w:val="22"/>
        </w:rPr>
        <w:t>Frankfurt am Main, 22. Mai 2024</w:t>
      </w:r>
    </w:p>
    <w:p>
      <w:pPr>
        <w:spacing w:line="259" w:lineRule="auto" w:after="60"/>
      </w:pPr>
    </w:p>
    <w:p>
      <w:pPr>
        <w:pStyle w:val="Heading2"/>
        <w:spacing w:line="259" w:lineRule="auto" w:after="60"/>
      </w:pPr>
      <w:r>
        <w:rPr>
          <w:rFonts w:ascii="Times New Roman" w:hAnsi="Times New Roman"/>
        </w:rPr>
        <w:t>In dem Insolvenzeröffnungsverfahren</w:t>
      </w:r>
    </w:p>
    <w:p>
      <w:pPr>
        <w:spacing w:line="259" w:lineRule="auto" w:after="60"/>
        <w:jc w:val="left"/>
      </w:pPr>
      <w:r>
        <w:t xml:space="preserve">der </w:t>
      </w:r>
      <w:r>
        <w:rPr>
          <w:b/>
        </w:rPr>
        <w:t>LUMEN Studios GmbH</w:t>
      </w:r>
      <w:r>
        <w:t>, Goethestraße 18, 60313 Frankfurt am Main, HRB 119845 des Amtsgerichts Frankfurt am Main, vertreten durch die Geschäftsführer Sebastian Richter und Florian Weber,</w:t>
      </w:r>
    </w:p>
    <w:p>
      <w:pPr>
        <w:spacing w:line="259" w:lineRule="auto" w:after="60"/>
        <w:jc w:val="left"/>
      </w:pPr>
      <w:r>
        <w:t>— Schuldnerin —</w:t>
      </w:r>
    </w:p>
    <w:p>
      <w:pPr>
        <w:spacing w:line="259" w:lineRule="auto" w:after="60"/>
        <w:jc w:val="left"/>
      </w:pPr>
      <w:r>
        <w:t>aufgrund des Antrags des Geschäftsführers Florian Weber vom 22.05.2024 (eingegangen 22.05.2024, 11:14 Uhr),</w:t>
      </w:r>
    </w:p>
    <w:p>
      <w:pPr>
        <w:spacing w:line="259" w:lineRule="auto" w:after="60"/>
        <w:jc w:val="left"/>
      </w:pPr>
      <w:r>
        <w:t>ergeht folgender</w:t>
      </w:r>
    </w:p>
    <w:p>
      <w:pPr>
        <w:pStyle w:val="Heading2"/>
        <w:spacing w:line="259" w:lineRule="auto" w:after="60"/>
      </w:pPr>
      <w:r>
        <w:rPr>
          <w:rFonts w:ascii="Times New Roman" w:hAnsi="Times New Roman"/>
        </w:rPr>
        <w:t>Beschluss</w:t>
      </w:r>
    </w:p>
    <w:p>
      <w:pPr>
        <w:spacing w:line="259" w:lineRule="auto" w:after="60"/>
        <w:jc w:val="left"/>
      </w:pPr>
      <w:r>
        <w:rPr>
          <w:b/>
        </w:rPr>
        <w:t>I.</w:t>
      </w:r>
      <w:r>
        <w:t xml:space="preserve"> Zur vorläufigen Insolvenzverwalterin gemäß § 21 Abs. 2 Nr. 1 InsO wird</w:t>
      </w:r>
    </w:p>
    <w:p>
      <w:pPr>
        <w:spacing w:line="259" w:lineRule="auto" w:after="60"/>
        <w:jc w:val="left"/>
      </w:pPr>
      <w:r>
        <w:rPr>
          <w:b/>
        </w:rPr>
        <w:t>Rechtsanwältin Dr. Claudia Bergmann</w:t>
      </w:r>
    </w:p>
    <w:p>
      <w:pPr>
        <w:spacing w:line="259" w:lineRule="auto" w:after="60"/>
        <w:jc w:val="left"/>
      </w:pPr>
      <w:r>
        <w:t>Bergmann · Reuther · von Tannberg Insolvenzverwalter Partnerschaft mbB</w:t>
      </w:r>
    </w:p>
    <w:p>
      <w:pPr>
        <w:spacing w:line="259" w:lineRule="auto" w:after="60"/>
        <w:jc w:val="left"/>
      </w:pPr>
      <w:r>
        <w:t>Goethestraße 53</w:t>
      </w:r>
    </w:p>
    <w:p>
      <w:pPr>
        <w:spacing w:line="259" w:lineRule="auto" w:after="60"/>
        <w:jc w:val="left"/>
      </w:pPr>
      <w:r>
        <w:t>60313 Frankfurt am Main</w:t>
      </w:r>
    </w:p>
    <w:p>
      <w:pPr>
        <w:spacing w:line="259" w:lineRule="auto" w:after="60"/>
        <w:jc w:val="left"/>
      </w:pPr>
      <w:r>
        <w:t>Telefon 069 / 92 87 36 0</w:t>
      </w:r>
    </w:p>
    <w:p>
      <w:pPr>
        <w:spacing w:line="259" w:lineRule="auto" w:after="60"/>
        <w:jc w:val="left"/>
      </w:pPr>
      <w:r>
        <w:t>bestellt.</w:t>
      </w:r>
    </w:p>
    <w:p>
      <w:pPr>
        <w:spacing w:line="259" w:lineRule="auto" w:after="60"/>
        <w:jc w:val="left"/>
      </w:pPr>
      <w:r>
        <w:rPr>
          <w:b/>
        </w:rPr>
        <w:t>II.</w:t>
      </w:r>
      <w:r>
        <w:t xml:space="preserve"> Verfügungen der Schuldnerin über ihr gegenwärtiges und künftiges Vermögen sind nur mit Zustimmung der vorläufigen Insolvenzverwalterin wirksam (§ 21 Abs. 2 Nr. 2 Alt. 2 InsO — sogenannte "schwache" vorläufige Insolvenzverwaltung mit Zustimmungsvorbehalt).</w:t>
      </w:r>
    </w:p>
    <w:p>
      <w:pPr>
        <w:spacing w:line="259" w:lineRule="auto" w:after="60"/>
        <w:jc w:val="left"/>
      </w:pPr>
      <w:r>
        <w:rPr>
          <w:b/>
        </w:rPr>
        <w:t>III.</w:t>
      </w:r>
      <w:r>
        <w:t xml:space="preserve"> Maßnahmen der Zwangsvollstreckung einzelner Gläubiger gegen die Schuldnerin werden untersagt, soweit nicht unbewegliche Gegenstände betroffen sind (§ 21 Abs. 2 Nr. 3 InsO).</w:t>
      </w:r>
    </w:p>
    <w:p>
      <w:pPr>
        <w:spacing w:line="259" w:lineRule="auto" w:after="60"/>
        <w:jc w:val="left"/>
      </w:pPr>
      <w:r>
        <w:rPr>
          <w:b/>
        </w:rPr>
        <w:t>IV.</w:t>
      </w:r>
      <w:r>
        <w:t xml:space="preserve"> Der vorläufigen Insolvenzverwalterin werden folgende Aufgaben übertragen:</w:t>
      </w:r>
    </w:p>
    <w:p>
      <w:pPr>
        <w:pStyle w:val="ListNumber"/>
        <w:spacing w:line="259" w:lineRule="auto" w:after="60"/>
      </w:pPr>
      <w:r>
        <w:t>Gutachten gemäß § 5 Abs. 1 InsO zu erstatten über</w:t>
      </w:r>
    </w:p>
    <w:p>
      <w:pPr>
        <w:pStyle w:val="ListBullet"/>
        <w:spacing w:line="259" w:lineRule="auto" w:after="60"/>
      </w:pPr>
      <w:r>
        <w:t>das Vorliegen eines Insolvenzgrundes,</w:t>
      </w:r>
    </w:p>
    <w:p>
      <w:pPr>
        <w:pStyle w:val="ListBullet"/>
        <w:spacing w:line="259" w:lineRule="auto" w:after="60"/>
      </w:pPr>
      <w:r>
        <w:t>die Aussichten auf Fortführung und Sanierung,</w:t>
      </w:r>
    </w:p>
    <w:p>
      <w:pPr>
        <w:pStyle w:val="ListBullet"/>
        <w:spacing w:line="259" w:lineRule="auto" w:after="60"/>
      </w:pPr>
      <w:r>
        <w:t>die Aussichten für eine Massearmuts-Konstellation (§ 26 InsO),</w:t>
      </w:r>
    </w:p>
    <w:p>
      <w:pPr>
        <w:pStyle w:val="ListBullet"/>
        <w:spacing w:line="259" w:lineRule="auto" w:after="60"/>
      </w:pPr>
      <w:r>
        <w:t>den voraussichtlichen Erlös aus einer Verwertung,</w:t>
      </w:r>
    </w:p>
    <w:p>
      <w:pPr>
        <w:pStyle w:val="ListBullet"/>
        <w:spacing w:line="259" w:lineRule="auto" w:after="60"/>
      </w:pPr>
      <w:r>
        <w:t>die für die Verfahrenseröffnung erforderlichen Massekosten;</w:t>
      </w:r>
    </w:p>
    <w:p>
      <w:pPr>
        <w:pStyle w:val="ListNumber"/>
        <w:spacing w:line="259" w:lineRule="auto" w:after="60"/>
      </w:pPr>
      <w:r>
        <w:t>das Vermögen der Schuldnerin zu sichern und zu erhalten;</w:t>
      </w:r>
    </w:p>
    <w:p>
      <w:pPr>
        <w:pStyle w:val="ListNumber"/>
        <w:spacing w:line="259" w:lineRule="auto" w:after="60"/>
      </w:pPr>
      <w:r>
        <w:t>zu prüfen, ob das Unternehmen der Schuldnerin bis zur Entscheidung über die Eröffnung fortgeführt werden kann;</w:t>
      </w:r>
    </w:p>
    <w:p>
      <w:pPr>
        <w:pStyle w:val="ListNumber"/>
        <w:spacing w:line="259" w:lineRule="auto" w:after="60"/>
      </w:pPr>
      <w:r>
        <w:t>zu prüfen, ob die Buchhaltung der Schuldnerin den gesetzlichen Anforderungen genügt, und ggf. Maßnahmen zur Rekonstruktion einzuleiten;</w:t>
      </w:r>
    </w:p>
    <w:p>
      <w:pPr>
        <w:pStyle w:val="ListNumber"/>
        <w:spacing w:line="259" w:lineRule="auto" w:after="60"/>
      </w:pPr>
      <w:r>
        <w:t>die Korrespondenz mit dem Mitgeschäftsführer Richter zu führen und dessen Sanierungs-Vorschläge zu bewerten.</w:t>
      </w:r>
    </w:p>
    <w:p>
      <w:pPr>
        <w:spacing w:line="259" w:lineRule="auto" w:after="60"/>
        <w:jc w:val="left"/>
      </w:pPr>
      <w:r>
        <w:rPr>
          <w:b/>
        </w:rPr>
        <w:t>V.</w:t>
      </w:r>
      <w:r>
        <w:t xml:space="preserve"> Die Schuldnerin und ihre Geschäftsführer haben der vorläufigen Insolvenzverwalterin unverzüglich umfassende Auskunft über die wirtschaftlichen Verhältnisse zu erteilen, sämtliche Buchhaltungs-, Bank- und Vertragsunterlagen vorzulegen sowie Zutritt zu den Geschäftsräumen zu gewähren (§ 22 Abs. 3 InsO iVm § 97 InsO).</w:t>
      </w:r>
    </w:p>
    <w:p>
      <w:pPr>
        <w:spacing w:line="259" w:lineRule="auto" w:after="60"/>
        <w:jc w:val="left"/>
      </w:pPr>
      <w:r>
        <w:rPr>
          <w:b/>
        </w:rPr>
        <w:t>VI.</w:t>
      </w:r>
      <w:r>
        <w:t xml:space="preserve"> Die Gutachten- und Sicherungstätigkeit der vorläufigen Insolvenzverwalterin soll spätestens binnen acht Wochen ab Zustellung dieses Beschlusses abgeschlossen sein. Eine Verlängerung wird auf begründeten Antrag in Aussicht gestellt.</w:t>
      </w:r>
    </w:p>
    <w:p>
      <w:pPr>
        <w:spacing w:line="259" w:lineRule="auto" w:after="60"/>
        <w:jc w:val="left"/>
      </w:pPr>
      <w:r>
        <w:rPr>
          <w:b/>
        </w:rPr>
        <w:t>VII.</w:t>
      </w:r>
      <w:r>
        <w:t xml:space="preserve"> Die Vergütung der vorläufigen Insolvenzverwalterin wird nach Abschluss der Tätigkeit aufgrund eines gesonderten Antrags festgesetzt (§§ 10, 11 InsVV).</w:t>
      </w:r>
    </w:p>
    <w:p>
      <w:pPr>
        <w:spacing w:line="259" w:lineRule="auto" w:after="60"/>
        <w:jc w:val="left"/>
      </w:pPr>
      <w:r>
        <w:rPr>
          <w:b/>
        </w:rPr>
        <w:t>VIII.</w:t>
      </w:r>
      <w:r>
        <w:t xml:space="preserve"> Beteiligten Gläubigern wird auf Antrag Akteneinsicht gemäß § 4 InsO iVm § 299 ZPO gewährt.</w:t>
      </w:r>
    </w:p>
    <w:p>
      <w:pPr>
        <w:spacing w:line="259" w:lineRule="auto" w:after="60"/>
        <w:jc w:val="left"/>
      </w:pPr>
      <w:r>
        <w:rPr>
          <w:b/>
        </w:rPr>
        <w:t>IX.</w:t>
      </w:r>
      <w:r>
        <w:t xml:space="preserve"> Das Handelsregister wird gemäß § 31 GmbHG, § 23 InsO über die Anordnung der vorläufigen Insolvenzverwaltung in Kenntnis gesetzt.</w:t>
      </w:r>
    </w:p>
    <w:p>
      <w:pPr>
        <w:pStyle w:val="Heading2"/>
        <w:spacing w:line="259" w:lineRule="auto" w:after="60"/>
      </w:pPr>
      <w:r>
        <w:rPr>
          <w:rFonts w:ascii="Times New Roman" w:hAnsi="Times New Roman"/>
        </w:rPr>
        <w:t>Gründe</w:t>
      </w:r>
    </w:p>
    <w:p>
      <w:pPr>
        <w:spacing w:line="259" w:lineRule="auto" w:after="60"/>
        <w:jc w:val="left"/>
      </w:pPr>
      <w:r>
        <w:t>Der Antrag des Mitgeschäftsführers Florian Weber ist zulässig (§ 13 Abs. 1, § 14 InsO). Die Antragsberechtigung jedes einzelnen Geschäftsführers ergibt sich aus § 15 Abs. 1 Satz 2 InsO und ist auch im Falle der internen Aufgabenteilung gegeben.</w:t>
      </w:r>
    </w:p>
    <w:p>
      <w:pPr>
        <w:spacing w:line="259" w:lineRule="auto" w:after="60"/>
        <w:jc w:val="left"/>
      </w:pPr>
      <w:r>
        <w:t>Der Antrag ist im Wesentlichen begründet. Aus den vorgelegten Unterlagen ergibt sich, dass die Schuldnerin Liquiditätslücken iHv mehr als 90 Prozent gegenüber fälligen Verbindlichkeiten hat. Die Drei-Wochen-Frist gemäß § 15a InsO ist überschritten.</w:t>
      </w:r>
    </w:p>
    <w:p>
      <w:pPr>
        <w:spacing w:line="259" w:lineRule="auto" w:after="60"/>
        <w:jc w:val="left"/>
      </w:pPr>
      <w:r>
        <w:t>Die Stellungnahme des Mitgeschäftsführers Richter vom 22.05.2024 (zugegangen 14:38 Uhr) wird zur Kenntnis genommen. Sie steht der Anordnung vorläufiger Sicherungsmaßnahmen nicht entgegen, sondern führt das Gericht zur Wahl der "schwachen" vorläufigen Insolvenzverwaltung (mit Zustimmungsvorbehalt statt Verfügungsverbot), um den von Herrn Richter genannten Sanierungs-Verhandlungen Raum zu geben. Die vorläufige Insolvenzverwalterin wird ausdrücklich beauftragt, diese Sanierungsoption zu prüfen.</w:t>
      </w:r>
    </w:p>
    <w:p>
      <w:pPr>
        <w:spacing w:line="259" w:lineRule="auto" w:after="60"/>
        <w:jc w:val="left"/>
      </w:pPr>
      <w:r>
        <w:t>Die Auswahl von RAin Dr. Claudia Bergmann erfolgt nach der Liste des Amtsgerichts Frankfurt am Main. Sie hat schriftlich am 22.05.2024 ihre Bereitschaft zur Übernahme erklärt. Interessenkonflikte sind nicht ersichtlich.</w:t>
      </w:r>
    </w:p>
    <w:p>
      <w:pPr>
        <w:pStyle w:val="Heading2"/>
        <w:spacing w:line="259" w:lineRule="auto" w:after="60"/>
      </w:pPr>
      <w:r>
        <w:rPr>
          <w:rFonts w:ascii="Times New Roman" w:hAnsi="Times New Roman"/>
        </w:rPr>
        <w:t>Rechtsmittelbelehrung</w:t>
      </w:r>
    </w:p>
    <w:p>
      <w:pPr>
        <w:spacing w:line="259" w:lineRule="auto" w:after="60"/>
        <w:jc w:val="left"/>
      </w:pPr>
      <w:r>
        <w:t>Gegen diesen Beschluss ist innerhalb von zwei Wochen ab Zustellung die sofortige Beschwerde nach §§ 4 InsO, 567 ff. ZPO statthaft.</w:t>
      </w:r>
    </w:p>
    <w:p>
      <w:pPr>
        <w:spacing w:line="259" w:lineRule="auto" w:after="60"/>
        <w:jc w:val="left"/>
      </w:pPr>
      <w:r>
        <w:t>gez. Dr. Heinrich von Oeynhausen</w:t>
      </w:r>
    </w:p>
    <w:p>
      <w:pPr>
        <w:spacing w:line="259" w:lineRule="auto" w:after="60"/>
        <w:jc w:val="left"/>
      </w:pPr>
      <w:r>
        <w:t>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