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sz w:val="22"/>
        </w:rPr>
        <w:t>Kanzlei Hagemann &amp; Westarp | Markenrechtliche Mandatsakte | Aktenzeichen intern 2026-MK-9233</w:t>
      </w:r>
    </w:p>
    <w:p>
      <w:pPr>
        <w:pStyle w:val="Heading1"/>
      </w:pPr>
      <w:r>
        <w:t>EUIPO-Veröffentlichung</w:t>
      </w:r>
    </w:p>
    <w:p>
      <w:pPr>
        <w:jc w:val="both"/>
      </w:pPr>
      <w:r>
        <w:t>Die Anmeldung CAPSULA42 wurde am 15.06.2026 veröffentlicht. Waren und Dienstleistungen umfassen Klasse 25 Sneaker, Sportschuhe, Streetwear sowie Klasse 35 Onlinehandel mit Bekleidung.</w:t>
      </w:r>
    </w:p>
    <w:p>
      <w:pPr>
        <w:jc w:val="both"/>
      </w:pPr>
      <w:r>
        <w:t>Die Widerspruchsfrist endet rechnerisch am 15.09.2026, vorbehaltlich genauer EUIPO-Fristenprüfung.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</w:rPr>
      <w:t>Kanzlei Hagemann &amp; Westarp | Marken- und Kennzeichenrecht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