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2"/>
        </w:rPr>
        <w:t>Kanzlei Hagemann &amp; Westarp | Markenrechtliche Mandatsakte | Aktenzeichen intern 2026-MK-4306</w:t>
      </w:r>
    </w:p>
    <w:p>
      <w:pPr>
        <w:pStyle w:val="Heading1"/>
      </w:pPr>
      <w:r>
        <w:t>Mandantenauftrag Widerspruch</w:t>
      </w:r>
    </w:p>
    <w:p>
      <w:pPr>
        <w:jc w:val="both"/>
      </w:pPr>
      <w:r>
        <w:t>Kapselwerk GmbH will Widerspruch einlegen, aber zunächst die Vergleichschance im Cooling-off nutzen. Ziel ist Ausschluss von Schuhen und Onlinehandel mit Sneakern.</w:t>
      </w:r>
    </w:p>
    <w:p>
      <w:pPr>
        <w:jc w:val="both"/>
      </w:pPr>
      <w:r>
        <w:t>Das Budget ist auf 9.500 EUR für erste Instanz begrenzt.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</w:rPr>
      <w:t>Kanzlei Hagemann &amp; Westarp | Marken- und Kennzeichenrecht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