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sz w:val="22"/>
        </w:rPr>
        <w:t>Kanzlei Hagemann &amp; Westarp | Markenrechtliche Mandatsakte | Aktenzeichen intern 2026-MK-3232</w:t>
      </w:r>
    </w:p>
    <w:p>
      <w:pPr>
        <w:pStyle w:val="Heading1"/>
      </w:pPr>
      <w:r>
        <w:t>Vergleichsvorschlag Cooling-off</w:t>
      </w:r>
    </w:p>
    <w:p>
      <w:pPr>
        <w:jc w:val="both"/>
      </w:pPr>
      <w:r>
        <w:t>Der Vorschlag erlaubt CAPSULA42 für Taschen und Accessoires, untersagt aber Sneaker, Sportschuhe und Onlinehandel mit Schuhen in der EU.</w:t>
      </w:r>
    </w:p>
    <w:p>
      <w:pPr>
        <w:jc w:val="both"/>
      </w:pPr>
      <w:r>
        <w:t>Die Gegenseite verlangt Aufbrauchfrist und wechselseitige Nichtangriffszusage.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</w:rPr>
      <w:t>Kanzlei Hagemann &amp; Westarp | Marken- und Kennzeichenrecht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