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2"/>
        </w:rPr>
        <w:t>Kanzlei Hagemann &amp; Westarp | Markenrechtliche Mandatsakte | Aktenzeichen intern 2026-MK-1305</w:t>
      </w:r>
    </w:p>
    <w:p>
      <w:pPr>
        <w:pStyle w:val="Heading1"/>
      </w:pPr>
      <w:r>
        <w:t>Widerspruchsbegründung Arbeitsfassung</w:t>
      </w:r>
    </w:p>
    <w:p>
      <w:pPr>
        <w:jc w:val="both"/>
      </w:pPr>
      <w:r>
        <w:t>Die Begründung trennt Warenidentität, Zeichenähnlichkeit, Kennzeichnungskraft, Benutzungsnachweis und Bekanntheitsschutz. Sie enthält noch keine fertige Anlagenliste.</w:t>
      </w:r>
    </w:p>
    <w:p>
      <w:pPr>
        <w:jc w:val="both"/>
      </w:pPr>
      <w:r>
        <w:t>Die Argumentation vermeidet Überdehnung: Art. 8 Abs. 5 UMV wird nur hilfsweise und belegorientiert geführt.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Kanzlei Hagemann &amp; Westarp | Marken- und Kennzeichenrecht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