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sz w:val="22"/>
        </w:rPr>
        <w:t>Kanzlei Hagemann &amp; Westarp | Markenrechtliche Mandatsakte | Aktenzeichen intern 2026-MK-7491</w:t>
      </w:r>
    </w:p>
    <w:p>
      <w:pPr>
        <w:pStyle w:val="Heading1"/>
      </w:pPr>
      <w:r>
        <w:t>Fristsachen EUIPO</w:t>
      </w:r>
    </w:p>
    <w:p>
      <w:pPr>
        <w:jc w:val="both"/>
      </w:pPr>
      <w:r>
        <w:t>Der Kalender enthält Widerspruchsfrist, Cooling-off-Antrag, Begründungsfrist, Erwiderungsfenster und interne Belegfristen.</w:t>
      </w:r>
    </w:p>
    <w:p>
      <w:pPr>
        <w:jc w:val="both"/>
      </w:pPr>
      <w:r>
        <w:t>Die Fristen müssen vor Einreichung in eSearch plus und EUIPO-Account gegengeprüft werden.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</w:rPr>
      <w:t>Kanzlei Hagemann &amp; Westarp | Marken- und Kennzeichenrecht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