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Kanzlei Hagemann &amp; Westarp | Markenrechtliche Mandatsakte | Aktenzeichen intern 2026-MK-4586</w:t>
      </w:r>
    </w:p>
    <w:p>
      <w:pPr>
        <w:pStyle w:val="Heading1"/>
      </w:pPr>
      <w:r>
        <w:t>Arbeitsstand und offene Punkte</w:t>
      </w:r>
    </w:p>
    <w:p>
      <w:pPr>
        <w:pStyle w:val="Heading2"/>
      </w:pPr>
      <w:r>
        <w:t>1. Sofort zu sichern</w:t>
      </w:r>
    </w:p>
    <w:p>
      <w:pPr>
        <w:jc w:val="both"/>
      </w:pPr>
      <w:r>
        <w:t>Frist, Zuständigkeit, Akteneinsicht und fehlende Anlagen sind vor jeder vertieften materiellen Prüfung zu ordnen. Das Arbeitsprodukt soll zuerst eine belastbare Fristen- und Belegmatrix liefern.</w:t>
      </w:r>
    </w:p>
    <w:p>
      <w:pPr>
        <w:pStyle w:val="Heading2"/>
      </w:pPr>
      <w:r>
        <w:t>2. Offene Belege</w:t>
      </w:r>
    </w:p>
    <w:p>
      <w:pPr>
        <w:jc w:val="both"/>
      </w:pPr>
      <w:r>
        <w:t>Die Akte enthält bewusst nicht alle Unterlagen vollständig. Nachzufordern sind nur die Dokumente, die den nächsten Verfahrensschritt ändern: Bescheidgrundlage, medizinische oder wirtschaftliche Kernbelege, Vollmachten, Register- oder Kontoauszüge.</w:t>
      </w:r>
    </w:p>
    <w:p>
      <w:pPr>
        <w:pStyle w:val="Heading2"/>
      </w:pPr>
      <w:r>
        <w:t>3. Ergebnisoffenheit</w:t>
      </w:r>
    </w:p>
    <w:p>
      <w:pPr>
        <w:jc w:val="both"/>
      </w:pPr>
      <w:r>
        <w:t>Der Vermerk hält keine rechtliche Lösung fest. Die Würdigung soll aus den vorhandenen Unterlagen, den Fristen und der Beweislast entstehen.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Kanzlei Hagemann &amp; Westarp | Marken- und Kennzeichenrecht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