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Mandatsnotiz Geschäftsführung</w:t>
      </w:r>
    </w:p>
    <w:p>
      <w:pPr>
        <w:spacing w:line="259" w:lineRule="auto" w:after="60"/>
        <w:jc w:val="left"/>
      </w:pPr>
      <w:r>
        <w:t>Mandantin ist PflegeZeit Saale GmbH, Merseburger Straße 41, 06110 Halle. Beschäftigte: 148, davon 112 in Pflege und Betreuung, 21 Verwaltung, 15 Hauswirtschaft. Geschäftsführerin ist Antje Korff. Anlass ist die geplante Vereinheitlichung der betrieblichen Altersversorgung zum 01.01.2027. Bisher existieren drei Schichten: Direktversicherungen aus 2004 bis 2018, eine arbeitgeberfinanzierte Zusage für Pflegedienstleitungen aus 2012 und seit 2020 Entgeltumwandlungsverträge über eine Pensionskasse.</w:t>
      </w:r>
    </w:p>
    <w:p>
      <w:pPr>
        <w:spacing w:line="259" w:lineRule="auto" w:after="60"/>
        <w:jc w:val="left"/>
      </w:pPr>
      <w:r>
        <w:t>Problem: Die Entgeltabrechnung hat bei Entgeltumwandlung nicht durchgehend den Arbeitgeberzuschuss berücksichtigt. Bei zehn Altverträgen wurde der Zuschuss nur gezahlt, wenn Beschäftigte aktiv nachfragten. Drei Beschäftigte in Elternzeit werden in der bAV-Liste gar nicht geführt. Eine Pflegedienstleitung beruft sich auf eine handschriftliche Zusage "100 EUR extra Rente" aus 2014. Die Geschäftsführung möchte wissen, ob sie das System vereinheitlichen kann, ohne alte Rechte zu verletzen.</w:t>
      </w:r>
    </w:p>
    <w:p>
      <w:pPr>
        <w:spacing w:line="259" w:lineRule="auto" w:after="60"/>
        <w:jc w:val="left"/>
      </w:pPr>
      <w:r>
        <w:t>Ziel: Beratungsmemo für Geschäftsführung und Personalabteilung, Umsetzungsplan für 2027, Kommunikationsentwurf an Beschäftigte und Prüfliste für die Lohnbuchhaltung. Kein aggressiver Sparkurs; die Mandantin will Nachzahlungen leisten, soweit sie rechtlich geboten und rechnerisch belastbar sind.</w:t>
      </w:r>
    </w:p>
    <w:p>
      <w:pPr>
        <w:spacing w:line="259" w:lineRule="auto" w:after="60"/>
        <w:jc w:val="left"/>
      </w:pPr>
      <w:r>
        <w:t>Fristen: Betriebsrat erwartet bis 20.07.2026 einen Vorschlag. Der Versicherer verlangt für Vertragsumstellungen zum 01.01.2027 eine Entscheidung bis 30.09.2026. Die nächste Lohnabrechnung läuft am 24.07.2026.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