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Arbeitnehmerfragen aus der Personalsprechstunde</w:t>
      </w:r>
    </w:p>
    <w:p>
      <w:pPr>
        <w:pStyle w:val="ListNumber"/>
        <w:spacing w:line="259" w:lineRule="auto" w:after="60"/>
      </w:pPr>
      <w:r>
        <w:t>Kann der Arbeitgeber meine Direktversicherung einfach beenden, wenn ich nicht zustimme?</w:t>
      </w:r>
    </w:p>
    <w:p>
      <w:pPr>
        <w:pStyle w:val="ListNumber"/>
        <w:spacing w:line="259" w:lineRule="auto" w:after="60"/>
      </w:pPr>
      <w:r>
        <w:t>Bekomme ich den Zuschuss rückwirkend, wenn er seit 2020 falsch abgerechnet wurde?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Muss ich bei Teilzeit denselben Zuschussanteil bekommen wie Vollzeitkräfte?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Was passiert mit der bAV während Elternzeit oder längerer Krankheit?</w:t>
      </w:r>
    </w:p>
    <w:p>
      <w:pPr>
        <w:pStyle w:val="ListNumber"/>
        <w:spacing w:line="259" w:lineRule="auto" w:after="60"/>
      </w:pPr>
      <w:r>
        <w:t>Warum erhält eine stellvertretende Pflegedienstleitung eine arbeitgeberfinanzierte Zusage und eine andere nicht?</w:t>
      </w:r>
    </w:p>
    <w:p>
      <w:pPr>
        <w:pStyle w:val="ListNumber"/>
        <w:spacing w:line="259" w:lineRule="auto" w:after="60"/>
      </w:pPr>
      <w:r>
        <w:t>Ist der Wechsel von der Direktversicherung zur Pensionskasse für mich nachteilig?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Kann ich die Entgeltumwandlung wegen hoher Inflation aussetzen?</w:t>
      </w:r>
    </w:p>
    <w:p>
      <w:pPr>
        <w:pStyle w:val="ListNumber"/>
        <w:spacing w:line="259" w:lineRule="auto" w:after="60"/>
      </w:pPr>
      <w:r>
        <w:t>Was passiert bei Arbeitgeberwechsel in einen anderen Pflegedienst?</w:t>
      </w:r>
    </w:p>
    <w:p>
      <w:pPr>
        <w:pStyle w:val="ListNumber"/>
        <w:spacing w:line="259" w:lineRule="auto" w:after="60"/>
      </w:pPr>
      <w:r>
        <w:t>Muss ich später Kranken- und Pflegeversicherungsbeiträge auf die Betriebsrente zahlen?</w:t>
      </w:r>
    </w:p>
    <w:p>
      <w:pPr>
        <w:pStyle w:val="ListNumber"/>
        <w:spacing w:line="259" w:lineRule="auto" w:after="60"/>
      </w:pPr>
      <w:r>
        <w:t>Gibt es eine klare Beispielrechnung für 80 EUR Umwandlung und 120 EUR Umwandlung?</w:t>
      </w:r>
    </w:p>
    <w:p>
      <w:pPr>
        <w:spacing w:line="259" w:lineRule="auto" w:after="60"/>
        <w:jc w:val="left"/>
      </w:pPr>
      <w:r>
        <w:t>Notiz Personalabteilung: Die Fragen sollen nicht einzeln beantwortet werden, bevor die rechtliche Linie steht. Kommunikationsentwurf muss zwischen rechtlichem Mindestanspruch, freiwilliger Nachzahlung und Kulanz unterscheiden.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