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Umsetzungsplan 2027</w:t>
      </w:r>
    </w:p>
    <w:p>
      <w:pPr>
        <w:spacing w:line="259" w:lineRule="auto" w:after="60"/>
        <w:jc w:val="left"/>
      </w:pPr>
      <w:r>
        <w:t>Bis 10.07.2026: vollständige Vertragsliste von Versicherer und Pensionskasse abrufen. Verantwortlich: Personalabteilung Stoll.</w:t>
      </w:r>
    </w:p>
    <w:p>
      <w:pPr>
        <w:spacing w:line="259" w:lineRule="auto" w:after="60"/>
        <w:jc w:val="left"/>
      </w:pPr>
      <w:r>
        <w:t>Bis 15.07.2026: Lohnarten 904, 905 und 912 mit tatsächlicher Entgeltumwandlung abgleichen. Verantwortlich: Entgeltabrechnung Schramm.</w:t>
      </w:r>
    </w:p>
    <w:p>
      <w:pPr>
        <w:spacing w:line="259" w:lineRule="auto" w:after="60"/>
        <w:jc w:val="left"/>
      </w:pPr>
      <w:r>
        <w:t>Bis 20.07.2026: Betriebsrat Kurzpapier mit Ampelmatrix übergeben.</w:t>
      </w:r>
    </w:p>
    <w:p>
      <w:pPr>
        <w:spacing w:line="259" w:lineRule="auto" w:after="60"/>
        <w:jc w:val="left"/>
      </w:pPr>
      <w:r>
        <w:t>Bis 31.07.2026: Altzusagen Leitungsebene rechtlich bewerten, insbesondere Menzel, Aydin, Hase.</w:t>
      </w:r>
    </w:p>
    <w:p>
      <w:pPr>
        <w:spacing w:line="259" w:lineRule="auto" w:after="60"/>
        <w:jc w:val="left"/>
      </w:pPr>
      <w:r>
        <w:t>Bis 15.08.2026: Nachzahlungsberechnung vorbereiten. Keine Zusage an Beschäftigte ohne Geschäftsführungsfreigabe.</w:t>
      </w:r>
    </w:p>
    <w:p>
      <w:pPr>
        <w:spacing w:line="259" w:lineRule="auto" w:after="60"/>
        <w:jc w:val="left"/>
      </w:pPr>
      <w:r>
        <w:t>Bis 30.09.2026: Entscheidung Versicherer/Pensionskasse über künftigen Durchführungsweg.</w:t>
      </w:r>
    </w:p>
    <w:p>
      <w:pPr>
        <w:spacing w:line="259" w:lineRule="auto" w:after="60"/>
        <w:jc w:val="left"/>
      </w:pPr>
      <w:r>
        <w:t>Bis 15.10.2026: Mitarbeiterinformation und Sprechstundenplan.</w:t>
      </w:r>
    </w:p>
    <w:p>
      <w:pPr>
        <w:spacing w:line="259" w:lineRule="auto" w:after="60"/>
        <w:jc w:val="left"/>
      </w:pPr>
      <w:r>
        <w:t>Ab 01.01.2027: neue Versorgungsordnung und monatliche Kontrollliste.</w:t>
      </w:r>
    </w:p>
    <w:p>
      <w:pPr>
        <w:spacing w:line="259" w:lineRule="auto" w:after="60"/>
        <w:jc w:val="left"/>
      </w:pPr>
      <w:r>
        <w:t>Risiken: Gleichbehandlung in Leitungsebene, fehlerhafte Zuschusszahlung, unklare Ablösung, fehlerhafte Beratung einzelner Beschäftigter. Nicht als Risiko überzeichnen: bloße Existenz mehrerer Durchführungswege.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