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160" w:line="259" w:lineRule="auto"/>
      </w:pPr>
      <w:r>
        <w:rPr>
          <w:rFonts w:ascii="Times New Roman" w:hAnsi="Times New Roman"/>
          <w:b/>
          <w:sz w:val="28"/>
        </w:rPr>
        <w:t>Mandatsnotiz Querschnittsfall</w:t>
      </w:r>
    </w:p>
    <w:p>
      <w:pPr>
        <w:spacing w:line="259" w:lineRule="auto" w:after="60"/>
        <w:jc w:val="left"/>
      </w:pPr>
      <w:r>
        <w:rPr>
          <w:rFonts w:ascii="Times New Roman" w:hAnsi="Times New Roman"/>
          <w:b w:val="0"/>
          <w:i w:val="0"/>
          <w:sz w:val="22"/>
        </w:rPr>
        <w:t>Mandant: Bernd Lewe, geboren 03.07.1960, Dortmund-Hörde. Früher angestellter Projektleiter bei Stahlbau Harkort GmbH bis 31.12.2021, danach als freier Baukoordinator für denselben Arbeitgeber und zwei weitere Auftraggeber tätig. Seit 12.02.2026 arbeitsunfähig nach Herzinfarkt und depressiver Erschöpfung. Er beantragte Erwerbsminderungsrente am 08.05.2026. Parallel läuft eine DRV-Betriebsprüfung beim früheren Arbeitgeber wegen möglicher abhängiger Beschäftigung 2022 bis 2024. Außerdem fehlt in der Betriebsrentenauskunft die Beschäftigungszeit 1994 bis 2001 nach einem Betriebsübergang.</w:t>
      </w:r>
    </w:p>
    <w:p>
      <w:pPr>
        <w:spacing w:line="259" w:lineRule="auto" w:after="60"/>
        <w:jc w:val="left"/>
      </w:pPr>
      <w:r>
        <w:t>Mandant ist finanziell unter Druck. Krankengeld wird gezahlt, aber die Krankenkasse drängt auf Reha. Er möchte wissen: Bringt die Statusprüfung zusätzliche Rentenpunkte? Gefährdet sie ihn steuerlich? Kann er die Betriebsrente korrigieren? Was muss jetzt für die Erwerbsminderungsrente gesichert werden?</w:t>
      </w:r>
    </w:p>
    <w:p>
      <w:pPr>
        <w:spacing w:line="259" w:lineRule="auto" w:after="60"/>
        <w:jc w:val="left"/>
      </w:pPr>
      <w:r>
        <w:t>Ziel: integrierte Beratungsübersicht mit Fristen und Abhängigkeiten. Keine isolierte Einzelprüfung. Der Statusstrang kann Beitragszeiten und spätere Rentenhöhe beeinflussen, darf aber nicht unbedacht Erstattungs- oder Nachforderungsrisiken auslösen.</w:t>
      </w:r>
    </w:p>
    <w:sectPr w:rsidR="00FC693F" w:rsidRPr="0006063C" w:rsidSect="00034616">
      <w:headerReference w:type="default" r:id="rId9"/>
      <w:footerReference w:type="default" r:id="rId10"/>
      <w:pgSz w:w="11906" w:h="16838"/>
      <w:pgMar w:top="1191"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b w:val="0"/>
        <w:color w:val="777777"/>
        <w:sz w:val="17"/>
      </w:rPr>
      <w:t>Vertraulich | Bearbeitungsstand Juli 2026 | nur zur Aktenbearbeitung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val="0"/>
        <w:i w:val="0"/>
        <w:color w:val="666666"/>
        <w:sz w:val="17"/>
      </w:rPr>
      <w:t>Rentenberatung Jessen &amp; Kollegium | Renten- und Versorgungsakte | Bearbeitungsstand Juli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