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Anhörung aus Betriebsprüfung, Auszug</w:t>
      </w:r>
    </w:p>
    <w:p>
      <w:pPr>
        <w:spacing w:line="259" w:lineRule="auto" w:after="60"/>
        <w:jc w:val="left"/>
      </w:pPr>
      <w:r>
        <w:t>DRV Westfalen prüft bei Stahlbau Harkort GmbH die Projektleiterverträge 2022 bis 2024. Bernd Lewe war nach Ende seines Arbeitsverhältnisses weiter in Projekten Phoenix-West und Brückenlager Waltrop eingesetzt. Vertraglich frei, tatsächlich aber mit Harkort-Mailadresse, Baustellenausweis, wöchentlichen Jour-fixe-Terminen und Freigabeprozessen. Honorar 78 EUR je Stunde, monatliche Rechnungen zwischen 8.900 und 14.300 EUR.</w:t>
      </w:r>
    </w:p>
    <w:p>
      <w:pPr>
        <w:spacing w:line="259" w:lineRule="auto" w:after="60"/>
        <w:jc w:val="left"/>
      </w:pPr>
      <w:r>
        <w:t>Für Selbständigkeit sprechen eigene Betriebshaftpflicht, zwei weitere Auftraggeber ab 2023, eigenes Notebook, keine Urlaubsvergütung, Vertretung durch Ingenieurbüro Kallweit in zwei Terminen. Für Beschäftigung sprechen langjährige Vorprägung, gleiche Ansprechpartner, Eingliederung in Projektsteuerung, keine echte Preisverhandlung je Projekt.</w:t>
      </w:r>
    </w:p>
    <w:p>
      <w:pPr>
        <w:spacing w:line="259" w:lineRule="auto" w:after="60"/>
        <w:jc w:val="left"/>
      </w:pPr>
      <w:r>
        <w:t>Der Arbeitgeber will eine Lösung ohne Beitragsbescheid. Mandant will wissen, ob eine nachträgliche Pflichtversicherung rentenrechtlich vorteilhaft wäre. Steuerberater warnt vor Umsatzsteuerkorrekturen.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