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Betriebsrente und Betriebsübergang</w:t>
      </w:r>
    </w:p>
    <w:p>
      <w:pPr>
        <w:spacing w:line="259" w:lineRule="auto" w:after="60"/>
        <w:jc w:val="left"/>
      </w:pPr>
      <w:r>
        <w:t>Betriebsrentenauskunft Harkort Versorgungskasse vom 16.06.2026 weist Eintritt 01.01.2002 aus. Mandant war aber bereits seit 01.07.1994 bei Metallbau Fricke GmbH beschäftigt. Fricke wurde zum 01.01.2002 im Wege eines Betriebsübergangs in Stahlbau Harkort integriert. Im Arbeitsvertrag 2002 steht: "Die bisherige Betriebszugehörigkeit wird anerkannt." Die Versorgungsordnung Harkort 1998 knüpft an anrechenbare Dienstzeit an.</w:t>
      </w:r>
    </w:p>
    <w:p>
      <w:pPr>
        <w:spacing w:line="259" w:lineRule="auto" w:after="60"/>
        <w:jc w:val="left"/>
      </w:pPr>
      <w:r>
        <w:t>Fehlende Wirkung: Die Versorgungskasse rechnet nur 24 Dienstjahre statt 31. Die Differenz kann die monatliche Betriebsrente spürbar erhöhen. Offen ist, ob Fricke eine eigene Zusage hatte oder nur die Dienstzeit für Harkort zählt. Personalakte enthält Schreiben vom 10.12.2001: "Ihre erworbenen Rechte bleiben unberührt."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