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Fragen an den Mandanten</w:t>
      </w:r>
    </w:p>
    <w:p>
      <w:pPr>
        <w:pStyle w:val="ListNumber"/>
        <w:spacing w:before="120" w:after="60" w:line="259" w:lineRule="auto"/>
      </w:pPr>
      <w:r>
        <w:rPr>
          <w:rFonts w:ascii="Times New Roman" w:hAnsi="Times New Roman"/>
          <w:b/>
          <w:sz w:val="22"/>
        </w:rPr>
        <w:t>Welche Auftraggeber gab es 2022, 2023 und 2024 jeweils mit Umsatzanteil?</w:t>
      </w:r>
    </w:p>
    <w:p>
      <w:pPr>
        <w:pStyle w:val="ListNumber"/>
        <w:spacing w:before="120" w:after="60" w:line="259" w:lineRule="auto"/>
      </w:pPr>
      <w:r>
        <w:rPr>
          <w:rFonts w:ascii="Times New Roman" w:hAnsi="Times New Roman"/>
          <w:b/>
          <w:sz w:val="22"/>
        </w:rPr>
        <w:t>Wer genehmigte Urlaub oder Abwesenheit in den Harkort-Projekten?</w:t>
      </w:r>
    </w:p>
    <w:p>
      <w:pPr>
        <w:pStyle w:val="ListNumber"/>
        <w:spacing w:before="120" w:after="60" w:line="259" w:lineRule="auto"/>
      </w:pPr>
      <w:r>
        <w:rPr>
          <w:rFonts w:ascii="Times New Roman" w:hAnsi="Times New Roman"/>
          <w:b/>
          <w:sz w:val="22"/>
        </w:rPr>
        <w:t>Wurden Sie in Harkort-Organigrammen geführt?</w:t>
      </w:r>
    </w:p>
    <w:p>
      <w:pPr>
        <w:pStyle w:val="ListNumber"/>
        <w:spacing w:before="120" w:after="60" w:line="259" w:lineRule="auto"/>
      </w:pPr>
      <w:r>
        <w:rPr>
          <w:rFonts w:ascii="Times New Roman" w:hAnsi="Times New Roman"/>
          <w:b/>
          <w:sz w:val="22"/>
        </w:rPr>
        <w:t>Haben Sie Betriebshaftpflicht, Website, Briefpapier, eigene AGB?</w:t>
      </w:r>
    </w:p>
    <w:p>
      <w:pPr>
        <w:pStyle w:val="ListNumber"/>
        <w:spacing w:before="120" w:after="60" w:line="259" w:lineRule="auto"/>
      </w:pPr>
      <w:r>
        <w:rPr>
          <w:rFonts w:ascii="Times New Roman" w:hAnsi="Times New Roman"/>
          <w:b/>
          <w:sz w:val="22"/>
        </w:rPr>
        <w:t>Gibt es alte Fricke-Unterlagen zur Betriebsrente?</w:t>
      </w:r>
    </w:p>
    <w:p>
      <w:pPr>
        <w:pStyle w:val="ListNumber"/>
        <w:spacing w:before="120" w:after="60" w:line="259" w:lineRule="auto"/>
      </w:pPr>
      <w:r>
        <w:rPr>
          <w:rFonts w:ascii="Times New Roman" w:hAnsi="Times New Roman"/>
          <w:b/>
          <w:sz w:val="22"/>
        </w:rPr>
        <w:t>Wer kann den Betriebsübergang 2002 bestätigen?</w:t>
      </w:r>
    </w:p>
    <w:p>
      <w:pPr>
        <w:pStyle w:val="ListNumber"/>
        <w:spacing w:before="120" w:after="60" w:line="259" w:lineRule="auto"/>
      </w:pPr>
      <w:r>
        <w:rPr>
          <w:rFonts w:ascii="Times New Roman" w:hAnsi="Times New Roman"/>
          <w:b/>
          <w:sz w:val="22"/>
        </w:rPr>
        <w:t>Welche körperlichen Wege waren in der Projektleitung regelmäßig nötig?</w:t>
      </w:r>
    </w:p>
    <w:p>
      <w:pPr>
        <w:pStyle w:val="ListNumber"/>
        <w:spacing w:line="259" w:lineRule="auto" w:after="60"/>
      </w:pPr>
      <w:r>
        <w:t>Wie oft treten Panik oder Konzentrationsabbrüche auf?</w:t>
      </w:r>
    </w:p>
    <w:p>
      <w:pPr>
        <w:pStyle w:val="ListNumber"/>
        <w:spacing w:line="259" w:lineRule="auto" w:after="60"/>
      </w:pPr>
      <w:r>
        <w:t>Hat die Krankenkasse schon Reha oder Rentenantrag verlangt?</w:t>
      </w:r>
    </w:p>
    <w:p>
      <w:pPr>
        <w:pStyle w:val="ListNumber"/>
        <w:spacing w:line="259" w:lineRule="auto" w:after="60"/>
      </w:pPr>
      <w:r>
        <w:t>Welche monatliche Liquiditätslücke besteht ab August 2026?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Rentenberatung Jessen &amp; Kollegium | Renten- und Versorgungsakte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